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90214" w14:textId="77777777" w:rsidR="00C35DEC" w:rsidRPr="00A85B03" w:rsidRDefault="00C35DEC" w:rsidP="00B04F72">
      <w:pPr>
        <w:jc w:val="center"/>
        <w:rPr>
          <w:b/>
          <w:sz w:val="22"/>
          <w:szCs w:val="22"/>
        </w:rPr>
      </w:pPr>
    </w:p>
    <w:p w14:paraId="15216F24" w14:textId="77777777" w:rsidR="00540F2D" w:rsidRDefault="00A37EB0" w:rsidP="00B04F72">
      <w:pPr>
        <w:jc w:val="center"/>
        <w:rPr>
          <w:b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FD9CA00" wp14:editId="11275458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762250" cy="7524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SIUE SOP Logo Red with Transparent background 4.14.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1828F" w14:textId="77777777" w:rsidR="0000661E" w:rsidRDefault="0000661E" w:rsidP="00B04F72">
      <w:pPr>
        <w:jc w:val="center"/>
        <w:rPr>
          <w:b/>
        </w:rPr>
      </w:pPr>
    </w:p>
    <w:p w14:paraId="3AEA708E" w14:textId="77777777" w:rsidR="00F55225" w:rsidRDefault="00F55225" w:rsidP="00B04F72">
      <w:pPr>
        <w:jc w:val="center"/>
        <w:rPr>
          <w:b/>
        </w:rPr>
      </w:pPr>
    </w:p>
    <w:p w14:paraId="4EECD1CD" w14:textId="77777777" w:rsidR="00A37EB0" w:rsidRDefault="00A37EB0" w:rsidP="00B04F72">
      <w:pPr>
        <w:jc w:val="center"/>
        <w:rPr>
          <w:b/>
        </w:rPr>
      </w:pPr>
    </w:p>
    <w:p w14:paraId="6E39739F" w14:textId="77777777" w:rsidR="00A37EB0" w:rsidRDefault="00A37EB0" w:rsidP="00B04F72">
      <w:pPr>
        <w:jc w:val="center"/>
        <w:rPr>
          <w:b/>
        </w:rPr>
      </w:pPr>
    </w:p>
    <w:p w14:paraId="2D1585E9" w14:textId="77777777" w:rsidR="00375AFB" w:rsidRPr="00B1672A" w:rsidRDefault="003F6DDF" w:rsidP="00B04F7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B1672A">
        <w:rPr>
          <w:rFonts w:asciiTheme="minorHAnsi" w:hAnsiTheme="minorHAnsi" w:cstheme="minorHAnsi"/>
          <w:b/>
          <w:sz w:val="21"/>
          <w:szCs w:val="21"/>
        </w:rPr>
        <w:t>Conditional Entry Program</w:t>
      </w:r>
      <w:r w:rsidR="007868DA" w:rsidRPr="00B1672A">
        <w:rPr>
          <w:rFonts w:asciiTheme="minorHAnsi" w:hAnsiTheme="minorHAnsi" w:cstheme="minorHAnsi"/>
          <w:b/>
          <w:sz w:val="21"/>
          <w:szCs w:val="21"/>
        </w:rPr>
        <w:t xml:space="preserve"> for Doctor of Pharmacy Degree</w:t>
      </w:r>
    </w:p>
    <w:p w14:paraId="2DBF0BE5" w14:textId="17CA7ECE" w:rsidR="00A357B4" w:rsidRPr="00B1672A" w:rsidRDefault="0067794D" w:rsidP="00A357B4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B1672A">
        <w:rPr>
          <w:rFonts w:asciiTheme="minorHAnsi" w:hAnsiTheme="minorHAnsi" w:cstheme="minorHAnsi"/>
          <w:b/>
          <w:sz w:val="21"/>
          <w:szCs w:val="21"/>
        </w:rPr>
        <w:t>Application Process &amp; Requirements for High School Seniors</w:t>
      </w:r>
    </w:p>
    <w:p w14:paraId="15381846" w14:textId="77777777" w:rsidR="007E1B47" w:rsidRPr="00B1672A" w:rsidRDefault="007E1B47" w:rsidP="00B04F7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2408053B" w14:textId="77777777" w:rsidR="006D6368" w:rsidRPr="00B1672A" w:rsidRDefault="003F6DDF">
      <w:pPr>
        <w:pStyle w:val="NoSpacing"/>
        <w:rPr>
          <w:rFonts w:asciiTheme="minorHAnsi" w:hAnsiTheme="minorHAnsi" w:cstheme="minorHAnsi"/>
          <w:b/>
          <w:i/>
          <w:sz w:val="21"/>
          <w:szCs w:val="21"/>
        </w:rPr>
      </w:pPr>
      <w:r w:rsidRPr="00B1672A">
        <w:rPr>
          <w:rFonts w:asciiTheme="minorHAnsi" w:hAnsiTheme="minorHAnsi" w:cstheme="minorHAnsi"/>
          <w:b/>
          <w:i/>
          <w:sz w:val="21"/>
          <w:szCs w:val="21"/>
        </w:rPr>
        <w:t>Introduction</w:t>
      </w:r>
    </w:p>
    <w:p w14:paraId="62BD6D11" w14:textId="75CCAB46" w:rsidR="006D6368" w:rsidRPr="00BC2818" w:rsidRDefault="003F6DDF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C2818">
        <w:rPr>
          <w:rFonts w:asciiTheme="minorHAnsi" w:hAnsiTheme="minorHAnsi" w:cstheme="minorHAnsi"/>
          <w:sz w:val="20"/>
          <w:szCs w:val="20"/>
        </w:rPr>
        <w:t>Incoming freshmen who enter SIUE directly from high school will be presented the opportunity to earn a Doctor of Pharmacy (PharmD) degree through the SIUE School of Pharmacy</w:t>
      </w:r>
      <w:r w:rsidR="001015A4" w:rsidRPr="00BC2818">
        <w:rPr>
          <w:rFonts w:asciiTheme="minorHAnsi" w:hAnsiTheme="minorHAnsi" w:cstheme="minorHAnsi"/>
          <w:sz w:val="20"/>
          <w:szCs w:val="20"/>
        </w:rPr>
        <w:t xml:space="preserve"> (SOP) early assurance program</w:t>
      </w:r>
      <w:r w:rsidR="00461518" w:rsidRPr="00BC2818">
        <w:rPr>
          <w:rFonts w:asciiTheme="minorHAnsi" w:hAnsiTheme="minorHAnsi" w:cstheme="minorHAnsi"/>
          <w:sz w:val="20"/>
          <w:szCs w:val="20"/>
        </w:rPr>
        <w:t xml:space="preserve"> called</w:t>
      </w:r>
      <w:r w:rsidRPr="00BC2818">
        <w:rPr>
          <w:rFonts w:asciiTheme="minorHAnsi" w:hAnsiTheme="minorHAnsi" w:cstheme="minorHAnsi"/>
          <w:sz w:val="20"/>
          <w:szCs w:val="20"/>
        </w:rPr>
        <w:t xml:space="preserve"> the Conditional Entry Progra</w:t>
      </w:r>
      <w:r w:rsidR="001E0958" w:rsidRPr="00BC2818">
        <w:rPr>
          <w:rFonts w:asciiTheme="minorHAnsi" w:hAnsiTheme="minorHAnsi" w:cstheme="minorHAnsi"/>
          <w:sz w:val="20"/>
          <w:szCs w:val="20"/>
        </w:rPr>
        <w:t>m (CEP)</w:t>
      </w:r>
      <w:r w:rsidR="001015A4" w:rsidRPr="00BC2818">
        <w:rPr>
          <w:rFonts w:asciiTheme="minorHAnsi" w:hAnsiTheme="minorHAnsi" w:cstheme="minorHAnsi"/>
          <w:sz w:val="20"/>
          <w:szCs w:val="20"/>
        </w:rPr>
        <w:t>,</w:t>
      </w:r>
      <w:r w:rsidR="001E0958" w:rsidRPr="00BC2818">
        <w:rPr>
          <w:rFonts w:asciiTheme="minorHAnsi" w:hAnsiTheme="minorHAnsi" w:cstheme="minorHAnsi"/>
          <w:sz w:val="20"/>
          <w:szCs w:val="20"/>
        </w:rPr>
        <w:t xml:space="preserve"> and students </w:t>
      </w:r>
      <w:r w:rsidR="00461518" w:rsidRPr="00BC2818">
        <w:rPr>
          <w:rFonts w:asciiTheme="minorHAnsi" w:hAnsiTheme="minorHAnsi" w:cstheme="minorHAnsi"/>
          <w:sz w:val="20"/>
          <w:szCs w:val="20"/>
        </w:rPr>
        <w:t>can</w:t>
      </w:r>
      <w:r w:rsidR="001E0958" w:rsidRPr="00BC2818">
        <w:rPr>
          <w:rFonts w:asciiTheme="minorHAnsi" w:hAnsiTheme="minorHAnsi" w:cstheme="minorHAnsi"/>
          <w:sz w:val="20"/>
          <w:szCs w:val="20"/>
        </w:rPr>
        <w:t xml:space="preserve"> </w:t>
      </w:r>
      <w:r w:rsidRPr="00BC2818">
        <w:rPr>
          <w:rFonts w:asciiTheme="minorHAnsi" w:hAnsiTheme="minorHAnsi" w:cstheme="minorHAnsi"/>
          <w:sz w:val="20"/>
          <w:szCs w:val="20"/>
        </w:rPr>
        <w:t>apply for consideration to the p</w:t>
      </w:r>
      <w:r w:rsidR="001015A4" w:rsidRPr="00BC2818">
        <w:rPr>
          <w:rFonts w:asciiTheme="minorHAnsi" w:hAnsiTheme="minorHAnsi" w:cstheme="minorHAnsi"/>
          <w:sz w:val="20"/>
          <w:szCs w:val="20"/>
        </w:rPr>
        <w:t xml:space="preserve">rogram as high school seniors. </w:t>
      </w:r>
      <w:r w:rsidRPr="00BC2818">
        <w:rPr>
          <w:rFonts w:asciiTheme="minorHAnsi" w:hAnsiTheme="minorHAnsi" w:cstheme="minorHAnsi"/>
          <w:sz w:val="20"/>
          <w:szCs w:val="20"/>
        </w:rPr>
        <w:t xml:space="preserve">Once accepted, the students in the CEP will be required to successfully complete </w:t>
      </w:r>
      <w:r w:rsidR="00461518" w:rsidRPr="00BC2818">
        <w:rPr>
          <w:rFonts w:asciiTheme="minorHAnsi" w:hAnsiTheme="minorHAnsi" w:cstheme="minorHAnsi"/>
          <w:sz w:val="20"/>
          <w:szCs w:val="20"/>
        </w:rPr>
        <w:t>the pre-pharmacy curriculum</w:t>
      </w:r>
      <w:r w:rsidRPr="00BC2818">
        <w:rPr>
          <w:rFonts w:asciiTheme="minorHAnsi" w:hAnsiTheme="minorHAnsi" w:cstheme="minorHAnsi"/>
          <w:sz w:val="20"/>
          <w:szCs w:val="20"/>
        </w:rPr>
        <w:t>, achieve pre-defined academic criteria, and meet both CEP and professional standards before being granted admission to the four-yea</w:t>
      </w:r>
      <w:r w:rsidR="001015A4" w:rsidRPr="00BC2818">
        <w:rPr>
          <w:rFonts w:asciiTheme="minorHAnsi" w:hAnsiTheme="minorHAnsi" w:cstheme="minorHAnsi"/>
          <w:sz w:val="20"/>
          <w:szCs w:val="20"/>
        </w:rPr>
        <w:t xml:space="preserve">r professional PharmD program. </w:t>
      </w:r>
      <w:r w:rsidRPr="00BC2818">
        <w:rPr>
          <w:rFonts w:asciiTheme="minorHAnsi" w:hAnsiTheme="minorHAnsi" w:cstheme="minorHAnsi"/>
          <w:sz w:val="20"/>
          <w:szCs w:val="20"/>
        </w:rPr>
        <w:t>The CEP is not the only route for admission into the PharmD program and ineligibility for CEP does not imply that a student is not qualified for SOP admission.  Other candidates for the PharmD program at SIUE are considered on a competitive basis using the traditional application process that is facilitated through PharmCAS and described on the SOP website.</w:t>
      </w:r>
    </w:p>
    <w:p w14:paraId="180E0DB4" w14:textId="77777777" w:rsidR="006D6368" w:rsidRPr="00B1672A" w:rsidRDefault="006D6368">
      <w:pPr>
        <w:pStyle w:val="NoSpacing"/>
        <w:rPr>
          <w:rFonts w:asciiTheme="minorHAnsi" w:hAnsiTheme="minorHAnsi" w:cstheme="minorHAnsi"/>
          <w:sz w:val="21"/>
          <w:szCs w:val="21"/>
        </w:rPr>
      </w:pPr>
    </w:p>
    <w:p w14:paraId="6E3074C6" w14:textId="77777777" w:rsidR="006D6368" w:rsidRPr="00B1672A" w:rsidRDefault="003F6DDF">
      <w:pPr>
        <w:pStyle w:val="NoSpacing"/>
        <w:rPr>
          <w:rFonts w:asciiTheme="minorHAnsi" w:hAnsiTheme="minorHAnsi" w:cstheme="minorHAnsi"/>
          <w:b/>
          <w:i/>
          <w:sz w:val="21"/>
          <w:szCs w:val="21"/>
        </w:rPr>
      </w:pPr>
      <w:r w:rsidRPr="00B1672A">
        <w:rPr>
          <w:rFonts w:asciiTheme="minorHAnsi" w:hAnsiTheme="minorHAnsi" w:cstheme="minorHAnsi"/>
          <w:b/>
          <w:i/>
          <w:sz w:val="21"/>
          <w:szCs w:val="21"/>
        </w:rPr>
        <w:t>Eligibility Requirements</w:t>
      </w:r>
    </w:p>
    <w:p w14:paraId="53FCCD95" w14:textId="67E3E4A8" w:rsidR="006D6368" w:rsidRPr="00BC2818" w:rsidRDefault="003F6DDF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C2818">
        <w:rPr>
          <w:rFonts w:asciiTheme="minorHAnsi" w:hAnsiTheme="minorHAnsi" w:cstheme="minorHAnsi"/>
          <w:sz w:val="20"/>
          <w:szCs w:val="20"/>
        </w:rPr>
        <w:t xml:space="preserve">All students who wish to be considered for the CEP </w:t>
      </w:r>
      <w:r w:rsidR="001056B9" w:rsidRPr="00BC2818">
        <w:rPr>
          <w:rFonts w:asciiTheme="minorHAnsi" w:hAnsiTheme="minorHAnsi" w:cstheme="minorHAnsi"/>
          <w:sz w:val="20"/>
          <w:szCs w:val="20"/>
        </w:rPr>
        <w:t xml:space="preserve">will </w:t>
      </w:r>
      <w:r w:rsidR="009B3D48" w:rsidRPr="00BC2818">
        <w:rPr>
          <w:rFonts w:asciiTheme="minorHAnsi" w:hAnsiTheme="minorHAnsi" w:cstheme="minorHAnsi"/>
          <w:sz w:val="20"/>
          <w:szCs w:val="20"/>
        </w:rPr>
        <w:t xml:space="preserve">need to meet the following minimum qualification standards: at least a 3.5 high school </w:t>
      </w:r>
      <w:r w:rsidR="00B85D81" w:rsidRPr="00BC2818">
        <w:rPr>
          <w:rFonts w:asciiTheme="minorHAnsi" w:hAnsiTheme="minorHAnsi" w:cstheme="minorHAnsi"/>
          <w:sz w:val="20"/>
          <w:szCs w:val="20"/>
        </w:rPr>
        <w:t>GPA</w:t>
      </w:r>
      <w:r w:rsidR="009B3D48" w:rsidRPr="00BC2818">
        <w:rPr>
          <w:rFonts w:asciiTheme="minorHAnsi" w:hAnsiTheme="minorHAnsi" w:cstheme="minorHAnsi"/>
          <w:sz w:val="20"/>
          <w:szCs w:val="20"/>
        </w:rPr>
        <w:t xml:space="preserve"> (4.0 scale) </w:t>
      </w:r>
      <w:r w:rsidR="009B3D48" w:rsidRPr="00BC2818">
        <w:rPr>
          <w:rFonts w:asciiTheme="minorHAnsi" w:hAnsiTheme="minorHAnsi" w:cstheme="minorHAnsi"/>
          <w:b/>
          <w:sz w:val="20"/>
          <w:szCs w:val="20"/>
        </w:rPr>
        <w:t>OR</w:t>
      </w:r>
      <w:r w:rsidR="009B3D48" w:rsidRPr="00BC2818">
        <w:rPr>
          <w:rFonts w:asciiTheme="minorHAnsi" w:hAnsiTheme="minorHAnsi" w:cstheme="minorHAnsi"/>
          <w:sz w:val="20"/>
          <w:szCs w:val="20"/>
        </w:rPr>
        <w:t xml:space="preserve"> ACT </w:t>
      </w:r>
      <w:r w:rsidR="009B3D48" w:rsidRPr="00BC281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≥ 27</w:t>
      </w:r>
      <w:r w:rsidR="009B3D48" w:rsidRPr="00BC2818">
        <w:rPr>
          <w:rFonts w:asciiTheme="minorHAnsi" w:hAnsiTheme="minorHAnsi" w:cstheme="minorHAnsi"/>
          <w:sz w:val="20"/>
          <w:szCs w:val="20"/>
        </w:rPr>
        <w:t xml:space="preserve"> </w:t>
      </w:r>
      <w:r w:rsidR="003712B4" w:rsidRPr="00BC2818">
        <w:rPr>
          <w:rFonts w:asciiTheme="minorHAnsi" w:hAnsiTheme="minorHAnsi" w:cstheme="minorHAnsi"/>
          <w:b/>
          <w:sz w:val="20"/>
          <w:szCs w:val="20"/>
        </w:rPr>
        <w:t>OR</w:t>
      </w:r>
      <w:r w:rsidR="009B3D48" w:rsidRPr="00BC2818">
        <w:rPr>
          <w:rFonts w:asciiTheme="minorHAnsi" w:hAnsiTheme="minorHAnsi" w:cstheme="minorHAnsi"/>
          <w:sz w:val="20"/>
          <w:szCs w:val="20"/>
        </w:rPr>
        <w:t xml:space="preserve"> SAT </w:t>
      </w:r>
      <w:r w:rsidR="009B3D48" w:rsidRPr="00BC281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≥ 1260</w:t>
      </w:r>
      <w:r w:rsidR="009B3D48" w:rsidRPr="00BC2818">
        <w:rPr>
          <w:rFonts w:asciiTheme="minorHAnsi" w:hAnsiTheme="minorHAnsi" w:cstheme="minorHAnsi"/>
          <w:i/>
          <w:sz w:val="20"/>
          <w:szCs w:val="20"/>
        </w:rPr>
        <w:t>.</w:t>
      </w:r>
      <w:r w:rsidRPr="00BC2818">
        <w:rPr>
          <w:rFonts w:asciiTheme="minorHAnsi" w:hAnsiTheme="minorHAnsi" w:cstheme="minorHAnsi"/>
          <w:sz w:val="20"/>
          <w:szCs w:val="20"/>
        </w:rPr>
        <w:t xml:space="preserve"> </w:t>
      </w:r>
      <w:r w:rsidR="009B3D48" w:rsidRPr="00BC2818">
        <w:rPr>
          <w:rFonts w:asciiTheme="minorHAnsi" w:hAnsiTheme="minorHAnsi" w:cstheme="minorHAnsi"/>
          <w:sz w:val="20"/>
          <w:szCs w:val="20"/>
        </w:rPr>
        <w:t xml:space="preserve">The CEP uses the Meridian Scholars Program application process to identify </w:t>
      </w:r>
      <w:r w:rsidR="005B700B">
        <w:rPr>
          <w:rFonts w:asciiTheme="minorHAnsi" w:hAnsiTheme="minorHAnsi" w:cstheme="minorHAnsi"/>
          <w:sz w:val="20"/>
          <w:szCs w:val="20"/>
        </w:rPr>
        <w:t>high-achieving</w:t>
      </w:r>
      <w:r w:rsidR="009B3D48" w:rsidRPr="00BC2818">
        <w:rPr>
          <w:rFonts w:asciiTheme="minorHAnsi" w:hAnsiTheme="minorHAnsi" w:cstheme="minorHAnsi"/>
          <w:sz w:val="20"/>
          <w:szCs w:val="20"/>
        </w:rPr>
        <w:t xml:space="preserve"> students eligible for CEP consideration. The two programs are independent; the award status of a Meridian Scholarship does not affect CEP consideration and likewise</w:t>
      </w:r>
      <w:r w:rsidR="005B700B">
        <w:rPr>
          <w:rFonts w:asciiTheme="minorHAnsi" w:hAnsiTheme="minorHAnsi" w:cstheme="minorHAnsi"/>
          <w:sz w:val="20"/>
          <w:szCs w:val="20"/>
        </w:rPr>
        <w:t>,</w:t>
      </w:r>
      <w:r w:rsidR="009B3D48" w:rsidRPr="00BC2818">
        <w:rPr>
          <w:rFonts w:asciiTheme="minorHAnsi" w:hAnsiTheme="minorHAnsi" w:cstheme="minorHAnsi"/>
          <w:sz w:val="20"/>
          <w:szCs w:val="20"/>
        </w:rPr>
        <w:t xml:space="preserve"> CEP consideration does not impact the selection process for a Meridian Scholarship. </w:t>
      </w:r>
      <w:r w:rsidRPr="00BC2818">
        <w:rPr>
          <w:rFonts w:asciiTheme="minorHAnsi" w:hAnsiTheme="minorHAnsi" w:cstheme="minorHAnsi"/>
          <w:sz w:val="20"/>
          <w:szCs w:val="20"/>
        </w:rPr>
        <w:t>Unlike the Meridian Scholars Program, the CEP is an early assurance program and not a scholarship program</w:t>
      </w:r>
      <w:r w:rsidR="00BE3C56" w:rsidRPr="00BC2818">
        <w:rPr>
          <w:rFonts w:asciiTheme="minorHAnsi" w:hAnsiTheme="minorHAnsi" w:cstheme="minorHAnsi"/>
          <w:sz w:val="20"/>
          <w:szCs w:val="20"/>
        </w:rPr>
        <w:t xml:space="preserve">. Students being considered for CEP must also complete a Pre-Enrollment Checklist outlining certain course placement parameters </w:t>
      </w:r>
      <w:r w:rsidR="005B700B">
        <w:rPr>
          <w:rFonts w:asciiTheme="minorHAnsi" w:hAnsiTheme="minorHAnsi" w:cstheme="minorHAnsi"/>
          <w:sz w:val="20"/>
          <w:szCs w:val="20"/>
        </w:rPr>
        <w:t>to</w:t>
      </w:r>
      <w:r w:rsidR="00BE3C56" w:rsidRPr="00BC2818">
        <w:rPr>
          <w:rFonts w:asciiTheme="minorHAnsi" w:hAnsiTheme="minorHAnsi" w:cstheme="minorHAnsi"/>
          <w:sz w:val="20"/>
          <w:szCs w:val="20"/>
        </w:rPr>
        <w:t xml:space="preserve"> secure their spot in the early assurance program.</w:t>
      </w:r>
    </w:p>
    <w:p w14:paraId="2467BE7F" w14:textId="77777777" w:rsidR="006D6368" w:rsidRPr="00B1672A" w:rsidRDefault="006D6368">
      <w:pPr>
        <w:pStyle w:val="NoSpacing"/>
        <w:rPr>
          <w:rFonts w:asciiTheme="minorHAnsi" w:hAnsiTheme="minorHAnsi" w:cstheme="minorHAnsi"/>
          <w:sz w:val="21"/>
          <w:szCs w:val="21"/>
        </w:rPr>
      </w:pPr>
    </w:p>
    <w:p w14:paraId="3B03E128" w14:textId="77777777" w:rsidR="006D6368" w:rsidRPr="00B1672A" w:rsidRDefault="003F6DDF">
      <w:pPr>
        <w:pStyle w:val="NoSpacing"/>
        <w:rPr>
          <w:rFonts w:asciiTheme="minorHAnsi" w:hAnsiTheme="minorHAnsi" w:cstheme="minorHAnsi"/>
          <w:b/>
          <w:i/>
          <w:sz w:val="21"/>
          <w:szCs w:val="21"/>
        </w:rPr>
      </w:pPr>
      <w:r w:rsidRPr="00B1672A">
        <w:rPr>
          <w:rFonts w:asciiTheme="minorHAnsi" w:hAnsiTheme="minorHAnsi" w:cstheme="minorHAnsi"/>
          <w:b/>
          <w:i/>
          <w:sz w:val="21"/>
          <w:szCs w:val="21"/>
        </w:rPr>
        <w:t>Application</w:t>
      </w:r>
      <w:r w:rsidR="00F9368F" w:rsidRPr="00B1672A">
        <w:rPr>
          <w:rFonts w:asciiTheme="minorHAnsi" w:hAnsiTheme="minorHAnsi" w:cstheme="minorHAnsi"/>
          <w:b/>
          <w:i/>
          <w:sz w:val="21"/>
          <w:szCs w:val="21"/>
        </w:rPr>
        <w:t xml:space="preserve"> &amp; Selection</w:t>
      </w:r>
      <w:r w:rsidRPr="00B1672A">
        <w:rPr>
          <w:rFonts w:asciiTheme="minorHAnsi" w:hAnsiTheme="minorHAnsi" w:cstheme="minorHAnsi"/>
          <w:b/>
          <w:i/>
          <w:sz w:val="21"/>
          <w:szCs w:val="21"/>
        </w:rPr>
        <w:t xml:space="preserve"> Process</w:t>
      </w:r>
    </w:p>
    <w:p w14:paraId="1EE19F43" w14:textId="77777777" w:rsidR="00AF04A5" w:rsidRPr="00BC2818" w:rsidRDefault="00AF04A5" w:rsidP="00AF04A5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BC2818">
        <w:rPr>
          <w:rFonts w:asciiTheme="minorHAnsi" w:hAnsiTheme="minorHAnsi" w:cstheme="minorHAnsi"/>
          <w:sz w:val="20"/>
          <w:szCs w:val="20"/>
        </w:rPr>
        <w:t>A</w:t>
      </w:r>
      <w:r w:rsidR="003F6DDF" w:rsidRPr="00BC2818">
        <w:rPr>
          <w:rFonts w:asciiTheme="minorHAnsi" w:hAnsiTheme="minorHAnsi" w:cstheme="minorHAnsi"/>
          <w:sz w:val="20"/>
          <w:szCs w:val="20"/>
        </w:rPr>
        <w:t xml:space="preserve">pply </w:t>
      </w:r>
      <w:r w:rsidR="00EE7CFA" w:rsidRPr="00BC2818">
        <w:rPr>
          <w:rFonts w:asciiTheme="minorHAnsi" w:hAnsiTheme="minorHAnsi" w:cstheme="minorHAnsi"/>
          <w:sz w:val="20"/>
          <w:szCs w:val="20"/>
        </w:rPr>
        <w:t xml:space="preserve">for admission to SIUE and indicate pharmacy </w:t>
      </w:r>
      <w:r w:rsidRPr="00BC2818">
        <w:rPr>
          <w:rFonts w:asciiTheme="minorHAnsi" w:hAnsiTheme="minorHAnsi" w:cstheme="minorHAnsi"/>
          <w:sz w:val="20"/>
          <w:szCs w:val="20"/>
        </w:rPr>
        <w:t xml:space="preserve">or pre-pharmacy </w:t>
      </w:r>
      <w:r w:rsidR="00EE7CFA" w:rsidRPr="00BC2818">
        <w:rPr>
          <w:rFonts w:asciiTheme="minorHAnsi" w:hAnsiTheme="minorHAnsi" w:cstheme="minorHAnsi"/>
          <w:sz w:val="20"/>
          <w:szCs w:val="20"/>
        </w:rPr>
        <w:t>as the intended field of study.</w:t>
      </w:r>
    </w:p>
    <w:p w14:paraId="50A79E1D" w14:textId="77777777" w:rsidR="00B9253E" w:rsidRPr="00BC2818" w:rsidRDefault="00C07657" w:rsidP="00B9253E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BC2818">
        <w:rPr>
          <w:rFonts w:asciiTheme="minorHAnsi" w:hAnsiTheme="minorHAnsi" w:cstheme="minorHAnsi"/>
          <w:sz w:val="20"/>
          <w:szCs w:val="20"/>
        </w:rPr>
        <w:t>Apply to</w:t>
      </w:r>
      <w:r w:rsidR="00EE7CFA" w:rsidRPr="00BC2818">
        <w:rPr>
          <w:rFonts w:asciiTheme="minorHAnsi" w:hAnsiTheme="minorHAnsi" w:cstheme="minorHAnsi"/>
          <w:sz w:val="20"/>
          <w:szCs w:val="20"/>
        </w:rPr>
        <w:t xml:space="preserve"> </w:t>
      </w:r>
      <w:r w:rsidR="003F6DDF" w:rsidRPr="00BC2818">
        <w:rPr>
          <w:rFonts w:asciiTheme="minorHAnsi" w:hAnsiTheme="minorHAnsi" w:cstheme="minorHAnsi"/>
          <w:sz w:val="20"/>
          <w:szCs w:val="20"/>
        </w:rPr>
        <w:t xml:space="preserve">the Meridian Scholars Program at SIUE </w:t>
      </w:r>
      <w:r w:rsidRPr="00BC2818">
        <w:rPr>
          <w:rFonts w:asciiTheme="minorHAnsi" w:hAnsiTheme="minorHAnsi" w:cstheme="minorHAnsi"/>
          <w:sz w:val="20"/>
          <w:szCs w:val="20"/>
        </w:rPr>
        <w:t>via the Supplemental Profile</w:t>
      </w:r>
      <w:r w:rsidR="003F6DDF" w:rsidRPr="00BC2818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49699108" w14:textId="77777777" w:rsidR="00B9253E" w:rsidRPr="00BC2818" w:rsidRDefault="00B9253E" w:rsidP="00B9253E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1EDB938" w14:textId="77777777" w:rsidR="002D2307" w:rsidRPr="00BC2818" w:rsidRDefault="003F6DDF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C2818">
        <w:rPr>
          <w:rFonts w:asciiTheme="minorHAnsi" w:hAnsiTheme="minorHAnsi" w:cstheme="minorHAnsi"/>
          <w:sz w:val="20"/>
          <w:szCs w:val="20"/>
        </w:rPr>
        <w:t xml:space="preserve">All applicants </w:t>
      </w:r>
      <w:r w:rsidR="00B9253E" w:rsidRPr="00BC2818">
        <w:rPr>
          <w:rFonts w:asciiTheme="minorHAnsi" w:hAnsiTheme="minorHAnsi" w:cstheme="minorHAnsi"/>
          <w:sz w:val="20"/>
          <w:szCs w:val="20"/>
        </w:rPr>
        <w:t xml:space="preserve">meeting the eligibility requirements </w:t>
      </w:r>
      <w:r w:rsidRPr="00BC2818">
        <w:rPr>
          <w:rFonts w:asciiTheme="minorHAnsi" w:hAnsiTheme="minorHAnsi" w:cstheme="minorHAnsi"/>
          <w:sz w:val="20"/>
          <w:szCs w:val="20"/>
        </w:rPr>
        <w:t xml:space="preserve">will be reviewed by </w:t>
      </w:r>
      <w:r w:rsidR="00BE3C56" w:rsidRPr="00BC2818">
        <w:rPr>
          <w:rFonts w:asciiTheme="minorHAnsi" w:hAnsiTheme="minorHAnsi" w:cstheme="minorHAnsi"/>
          <w:sz w:val="20"/>
          <w:szCs w:val="20"/>
        </w:rPr>
        <w:t xml:space="preserve">the SOP for CEP consideration. </w:t>
      </w:r>
      <w:r w:rsidR="00511383" w:rsidRPr="00BC2818">
        <w:rPr>
          <w:rFonts w:asciiTheme="minorHAnsi" w:hAnsiTheme="minorHAnsi" w:cstheme="minorHAnsi"/>
          <w:sz w:val="20"/>
          <w:szCs w:val="20"/>
        </w:rPr>
        <w:t>All d</w:t>
      </w:r>
      <w:r w:rsidR="002D2307" w:rsidRPr="00BC2818">
        <w:rPr>
          <w:rFonts w:asciiTheme="minorHAnsi" w:hAnsiTheme="minorHAnsi" w:cstheme="minorHAnsi"/>
          <w:sz w:val="20"/>
          <w:szCs w:val="20"/>
        </w:rPr>
        <w:t xml:space="preserve">etails are provided at </w:t>
      </w:r>
      <w:r w:rsidR="008C6B4E" w:rsidRPr="00BC2818">
        <w:rPr>
          <w:rStyle w:val="Hyperlink"/>
          <w:rFonts w:asciiTheme="minorHAnsi" w:hAnsiTheme="minorHAnsi" w:cstheme="minorHAnsi"/>
          <w:sz w:val="20"/>
          <w:szCs w:val="20"/>
        </w:rPr>
        <w:t>http://www.siue.edu/</w:t>
      </w:r>
      <w:hyperlink r:id="rId9" w:history="1">
        <w:r w:rsidR="008C6B4E" w:rsidRPr="00BC2818">
          <w:rPr>
            <w:rStyle w:val="Hyperlink"/>
            <w:rFonts w:asciiTheme="minorHAnsi" w:hAnsiTheme="minorHAnsi" w:cstheme="minorHAnsi"/>
            <w:sz w:val="20"/>
            <w:szCs w:val="20"/>
          </w:rPr>
          <w:t>pharmacy</w:t>
        </w:r>
      </w:hyperlink>
      <w:r w:rsidR="008C6B4E" w:rsidRPr="00BC2818">
        <w:rPr>
          <w:rStyle w:val="Hyperlink"/>
          <w:rFonts w:asciiTheme="minorHAnsi" w:hAnsiTheme="minorHAnsi" w:cstheme="minorHAnsi"/>
          <w:sz w:val="20"/>
          <w:szCs w:val="20"/>
        </w:rPr>
        <w:t>/admission/</w:t>
      </w:r>
      <w:r w:rsidR="002D2307" w:rsidRPr="00BC2818">
        <w:rPr>
          <w:rFonts w:asciiTheme="minorHAnsi" w:hAnsiTheme="minorHAnsi" w:cstheme="minorHAnsi"/>
          <w:sz w:val="20"/>
          <w:szCs w:val="20"/>
        </w:rPr>
        <w:t xml:space="preserve">.  Select “Conditional </w:t>
      </w:r>
      <w:r w:rsidR="008C6B4E" w:rsidRPr="00BC2818">
        <w:rPr>
          <w:rFonts w:asciiTheme="minorHAnsi" w:hAnsiTheme="minorHAnsi" w:cstheme="minorHAnsi"/>
          <w:sz w:val="20"/>
          <w:szCs w:val="20"/>
        </w:rPr>
        <w:t>Entry</w:t>
      </w:r>
      <w:r w:rsidR="002D2307" w:rsidRPr="00BC2818">
        <w:rPr>
          <w:rFonts w:asciiTheme="minorHAnsi" w:hAnsiTheme="minorHAnsi" w:cstheme="minorHAnsi"/>
          <w:sz w:val="20"/>
          <w:szCs w:val="20"/>
        </w:rPr>
        <w:t>” on the left side.</w:t>
      </w:r>
    </w:p>
    <w:p w14:paraId="47E786F7" w14:textId="77777777" w:rsidR="002D2307" w:rsidRPr="00BC2818" w:rsidRDefault="002D2307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183181AF" w14:textId="77777777" w:rsidR="006D6368" w:rsidRPr="00B1672A" w:rsidRDefault="003F6DDF">
      <w:pPr>
        <w:pStyle w:val="NoSpacing"/>
        <w:rPr>
          <w:rFonts w:asciiTheme="minorHAnsi" w:hAnsiTheme="minorHAnsi" w:cstheme="minorHAnsi"/>
          <w:b/>
          <w:i/>
          <w:sz w:val="21"/>
          <w:szCs w:val="21"/>
        </w:rPr>
      </w:pPr>
      <w:r w:rsidRPr="00B1672A">
        <w:rPr>
          <w:rFonts w:asciiTheme="minorHAnsi" w:hAnsiTheme="minorHAnsi" w:cstheme="minorHAnsi"/>
          <w:b/>
          <w:i/>
          <w:sz w:val="21"/>
          <w:szCs w:val="21"/>
        </w:rPr>
        <w:t>Terms &amp; Conditions</w:t>
      </w:r>
    </w:p>
    <w:p w14:paraId="3E48C2C8" w14:textId="77777777" w:rsidR="006D6368" w:rsidRPr="00BC2818" w:rsidRDefault="003F6DDF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C2818">
        <w:rPr>
          <w:rFonts w:asciiTheme="minorHAnsi" w:hAnsiTheme="minorHAnsi" w:cstheme="minorHAnsi"/>
          <w:sz w:val="20"/>
          <w:szCs w:val="20"/>
        </w:rPr>
        <w:t>CEP participants will be required to accept the following terms and conditions:</w:t>
      </w:r>
    </w:p>
    <w:p w14:paraId="086552F1" w14:textId="77777777" w:rsidR="006D6368" w:rsidRPr="00BC2818" w:rsidRDefault="003F6DDF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BC2818">
        <w:rPr>
          <w:rFonts w:asciiTheme="minorHAnsi" w:hAnsiTheme="minorHAnsi" w:cstheme="minorHAnsi"/>
          <w:sz w:val="20"/>
          <w:szCs w:val="20"/>
        </w:rPr>
        <w:t>Students must meet with an academic advisor in the SOP at least once every semester prior to admission in the PharmD program.</w:t>
      </w:r>
    </w:p>
    <w:p w14:paraId="322BAAB0" w14:textId="77777777" w:rsidR="006D6368" w:rsidRPr="00BC2818" w:rsidRDefault="003F6DDF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BC2818">
        <w:rPr>
          <w:rFonts w:asciiTheme="minorHAnsi" w:hAnsiTheme="minorHAnsi" w:cstheme="minorHAnsi"/>
          <w:sz w:val="20"/>
          <w:szCs w:val="20"/>
        </w:rPr>
        <w:t>Students must meet the “</w:t>
      </w:r>
      <w:hyperlink r:id="rId10" w:history="1">
        <w:r w:rsidRPr="00BC2818">
          <w:rPr>
            <w:rStyle w:val="Hyperlink"/>
            <w:rFonts w:asciiTheme="minorHAnsi" w:hAnsiTheme="minorHAnsi" w:cstheme="minorHAnsi"/>
            <w:sz w:val="20"/>
            <w:szCs w:val="20"/>
          </w:rPr>
          <w:t>Technical Standards for Admission and Continued Enrollment</w:t>
        </w:r>
      </w:hyperlink>
      <w:r w:rsidRPr="00BC2818">
        <w:rPr>
          <w:rFonts w:asciiTheme="minorHAnsi" w:hAnsiTheme="minorHAnsi" w:cstheme="minorHAnsi"/>
          <w:sz w:val="20"/>
          <w:szCs w:val="20"/>
        </w:rPr>
        <w:t xml:space="preserve">” at the </w:t>
      </w:r>
      <w:r w:rsidR="00BE3C56" w:rsidRPr="00BC2818">
        <w:rPr>
          <w:rFonts w:asciiTheme="minorHAnsi" w:hAnsiTheme="minorHAnsi" w:cstheme="minorHAnsi"/>
          <w:sz w:val="20"/>
          <w:szCs w:val="20"/>
        </w:rPr>
        <w:t xml:space="preserve">time of enrollment in the SOP. </w:t>
      </w:r>
      <w:r w:rsidRPr="00BC2818">
        <w:rPr>
          <w:rFonts w:asciiTheme="minorHAnsi" w:hAnsiTheme="minorHAnsi" w:cstheme="minorHAnsi"/>
          <w:sz w:val="20"/>
          <w:szCs w:val="20"/>
        </w:rPr>
        <w:t>These standards are a requirement of all candidates for the PharmD degree and encompass the following categories: observation, communication, motor, intellectual, and</w:t>
      </w:r>
      <w:r w:rsidR="00BE3C56" w:rsidRPr="00BC2818">
        <w:rPr>
          <w:rFonts w:asciiTheme="minorHAnsi" w:hAnsiTheme="minorHAnsi" w:cstheme="minorHAnsi"/>
          <w:sz w:val="20"/>
          <w:szCs w:val="20"/>
        </w:rPr>
        <w:t xml:space="preserve"> behavioral/social attributes. </w:t>
      </w:r>
      <w:r w:rsidRPr="00BC2818">
        <w:rPr>
          <w:rFonts w:asciiTheme="minorHAnsi" w:hAnsiTheme="minorHAnsi" w:cstheme="minorHAnsi"/>
          <w:sz w:val="20"/>
          <w:szCs w:val="20"/>
        </w:rPr>
        <w:t>A full description of these standards may be found on the SOP website.</w:t>
      </w:r>
    </w:p>
    <w:p w14:paraId="503FF22F" w14:textId="77777777" w:rsidR="006D6368" w:rsidRPr="00BC2818" w:rsidRDefault="003F6DDF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BC2818">
        <w:rPr>
          <w:rFonts w:asciiTheme="minorHAnsi" w:hAnsiTheme="minorHAnsi" w:cstheme="minorHAnsi"/>
          <w:sz w:val="20"/>
          <w:szCs w:val="20"/>
        </w:rPr>
        <w:t>Students must adhere to all SIUE policies and abide by the University’s academic code of conduct and student conduct code.</w:t>
      </w:r>
    </w:p>
    <w:p w14:paraId="403AE385" w14:textId="77777777" w:rsidR="006D6368" w:rsidRPr="00BC2818" w:rsidRDefault="003F6DDF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BC2818">
        <w:rPr>
          <w:rFonts w:asciiTheme="minorHAnsi" w:hAnsiTheme="minorHAnsi" w:cstheme="minorHAnsi"/>
          <w:sz w:val="20"/>
          <w:szCs w:val="20"/>
        </w:rPr>
        <w:t>Students must successfully complete all candidate screening criteria for the PharmD program including a drug screen and criminal background check.</w:t>
      </w:r>
    </w:p>
    <w:p w14:paraId="2E37351E" w14:textId="77777777" w:rsidR="009F4CFA" w:rsidRPr="00BC2818" w:rsidRDefault="003F6DDF" w:rsidP="004F1F54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BC2818">
        <w:rPr>
          <w:rFonts w:asciiTheme="minorHAnsi" w:hAnsiTheme="minorHAnsi" w:cstheme="minorHAnsi"/>
          <w:sz w:val="20"/>
          <w:szCs w:val="20"/>
        </w:rPr>
        <w:t xml:space="preserve">Students must meet all CEP academic and program requirements for SOP Admission as </w:t>
      </w:r>
      <w:r w:rsidR="0022254D" w:rsidRPr="00BC2818">
        <w:rPr>
          <w:rFonts w:asciiTheme="minorHAnsi" w:hAnsiTheme="minorHAnsi" w:cstheme="minorHAnsi"/>
          <w:sz w:val="20"/>
          <w:szCs w:val="20"/>
        </w:rPr>
        <w:t>outlined on our website.</w:t>
      </w:r>
    </w:p>
    <w:p w14:paraId="16FD8489" w14:textId="77777777" w:rsidR="006D6368" w:rsidRPr="00BC2818" w:rsidRDefault="006D6368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16D23DEF" w14:textId="77777777" w:rsidR="006D6368" w:rsidRPr="00B1672A" w:rsidRDefault="003F6DDF">
      <w:pPr>
        <w:pStyle w:val="NoSpacing"/>
        <w:rPr>
          <w:rFonts w:asciiTheme="minorHAnsi" w:hAnsiTheme="minorHAnsi" w:cstheme="minorHAnsi"/>
          <w:b/>
          <w:i/>
          <w:sz w:val="21"/>
          <w:szCs w:val="21"/>
        </w:rPr>
      </w:pPr>
      <w:r w:rsidRPr="00B1672A">
        <w:rPr>
          <w:rFonts w:asciiTheme="minorHAnsi" w:hAnsiTheme="minorHAnsi" w:cstheme="minorHAnsi"/>
          <w:b/>
          <w:i/>
          <w:sz w:val="21"/>
          <w:szCs w:val="21"/>
        </w:rPr>
        <w:t>CEP Requirements</w:t>
      </w:r>
    </w:p>
    <w:p w14:paraId="1A9EBC37" w14:textId="696D5808" w:rsidR="00BE3C56" w:rsidRPr="00BC2818" w:rsidRDefault="003F6DDF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C2818">
        <w:rPr>
          <w:rFonts w:asciiTheme="minorHAnsi" w:hAnsiTheme="minorHAnsi" w:cstheme="minorHAnsi"/>
          <w:sz w:val="20"/>
          <w:szCs w:val="20"/>
        </w:rPr>
        <w:t>CEP participants will be required to suc</w:t>
      </w:r>
      <w:r w:rsidR="001E0958" w:rsidRPr="00BC2818">
        <w:rPr>
          <w:rFonts w:asciiTheme="minorHAnsi" w:hAnsiTheme="minorHAnsi" w:cstheme="minorHAnsi"/>
          <w:sz w:val="20"/>
          <w:szCs w:val="20"/>
        </w:rPr>
        <w:t xml:space="preserve">cessfully complete </w:t>
      </w:r>
      <w:r w:rsidRPr="00BC2818">
        <w:rPr>
          <w:rFonts w:asciiTheme="minorHAnsi" w:hAnsiTheme="minorHAnsi" w:cstheme="minorHAnsi"/>
          <w:sz w:val="20"/>
          <w:szCs w:val="20"/>
        </w:rPr>
        <w:t xml:space="preserve">pre-professional coursework, achieve pre-defined academic criteria, and meet CEP and professional standards before being granted admission into the four-year </w:t>
      </w:r>
      <w:r w:rsidR="00BE3C56" w:rsidRPr="00BC2818">
        <w:rPr>
          <w:rFonts w:asciiTheme="minorHAnsi" w:hAnsiTheme="minorHAnsi" w:cstheme="minorHAnsi"/>
          <w:sz w:val="20"/>
          <w:szCs w:val="20"/>
        </w:rPr>
        <w:t xml:space="preserve">professional pharmacy program. </w:t>
      </w:r>
      <w:r w:rsidRPr="00BC2818">
        <w:rPr>
          <w:rFonts w:asciiTheme="minorHAnsi" w:hAnsiTheme="minorHAnsi" w:cstheme="minorHAnsi"/>
          <w:sz w:val="20"/>
          <w:szCs w:val="20"/>
        </w:rPr>
        <w:t xml:space="preserve">CEP participants will be held to a stringent set of academic standards </w:t>
      </w:r>
      <w:r w:rsidR="005B700B">
        <w:rPr>
          <w:rFonts w:asciiTheme="minorHAnsi" w:hAnsiTheme="minorHAnsi" w:cstheme="minorHAnsi"/>
          <w:sz w:val="20"/>
          <w:szCs w:val="20"/>
        </w:rPr>
        <w:t>to</w:t>
      </w:r>
      <w:r w:rsidRPr="00BC2818">
        <w:rPr>
          <w:rFonts w:asciiTheme="minorHAnsi" w:hAnsiTheme="minorHAnsi" w:cstheme="minorHAnsi"/>
          <w:sz w:val="20"/>
          <w:szCs w:val="20"/>
        </w:rPr>
        <w:t xml:space="preserve"> receive</w:t>
      </w:r>
      <w:r w:rsidR="00EB78E6" w:rsidRPr="00BC2818">
        <w:rPr>
          <w:rFonts w:asciiTheme="minorHAnsi" w:hAnsiTheme="minorHAnsi" w:cstheme="minorHAnsi"/>
          <w:sz w:val="20"/>
          <w:szCs w:val="20"/>
        </w:rPr>
        <w:t xml:space="preserve"> </w:t>
      </w:r>
      <w:r w:rsidRPr="00BC2818">
        <w:rPr>
          <w:rFonts w:asciiTheme="minorHAnsi" w:hAnsiTheme="minorHAnsi" w:cstheme="minorHAnsi"/>
          <w:sz w:val="20"/>
          <w:szCs w:val="20"/>
        </w:rPr>
        <w:t>guaranteed ad</w:t>
      </w:r>
      <w:r w:rsidR="00BE3C56" w:rsidRPr="00BC2818">
        <w:rPr>
          <w:rFonts w:asciiTheme="minorHAnsi" w:hAnsiTheme="minorHAnsi" w:cstheme="minorHAnsi"/>
          <w:sz w:val="20"/>
          <w:szCs w:val="20"/>
        </w:rPr>
        <w:t xml:space="preserve">mission to the PharmD program. </w:t>
      </w:r>
      <w:r w:rsidRPr="00BC2818">
        <w:rPr>
          <w:rFonts w:asciiTheme="minorHAnsi" w:hAnsiTheme="minorHAnsi" w:cstheme="minorHAnsi"/>
          <w:sz w:val="20"/>
          <w:szCs w:val="20"/>
        </w:rPr>
        <w:t>Standards of achievement include both academic and program requirements as listed below.</w:t>
      </w:r>
    </w:p>
    <w:p w14:paraId="56A73AE8" w14:textId="77777777" w:rsidR="0022254D" w:rsidRPr="00BC2818" w:rsidRDefault="0022254D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00E2CE98" w14:textId="181C3FEA" w:rsidR="00BC2818" w:rsidRDefault="00BC2818">
      <w:pPr>
        <w:pStyle w:val="NoSpacing"/>
        <w:tabs>
          <w:tab w:val="left" w:pos="360"/>
        </w:tabs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Hlk62629971"/>
    </w:p>
    <w:p w14:paraId="0ECCAB4F" w14:textId="77777777" w:rsidR="00BC2818" w:rsidRDefault="00BC2818">
      <w:pPr>
        <w:pStyle w:val="NoSpacing"/>
        <w:tabs>
          <w:tab w:val="left" w:pos="360"/>
        </w:tabs>
        <w:rPr>
          <w:rFonts w:asciiTheme="minorHAnsi" w:hAnsiTheme="minorHAnsi" w:cstheme="minorHAnsi"/>
          <w:b/>
          <w:i/>
          <w:sz w:val="22"/>
          <w:szCs w:val="22"/>
        </w:rPr>
      </w:pPr>
    </w:p>
    <w:p w14:paraId="688BC792" w14:textId="74A1DE87" w:rsidR="006D6368" w:rsidRPr="00BC2818" w:rsidRDefault="005A1573">
      <w:pPr>
        <w:pStyle w:val="NoSpacing"/>
        <w:tabs>
          <w:tab w:val="left" w:pos="360"/>
        </w:tabs>
        <w:rPr>
          <w:rFonts w:asciiTheme="minorHAnsi" w:hAnsiTheme="minorHAnsi" w:cstheme="minorHAnsi"/>
          <w:b/>
          <w:i/>
          <w:sz w:val="21"/>
          <w:szCs w:val="21"/>
        </w:rPr>
      </w:pPr>
      <w:r w:rsidRPr="00461518">
        <w:rPr>
          <w:rFonts w:asciiTheme="minorHAnsi" w:hAnsiTheme="minorHAnsi" w:cstheme="minorHAnsi"/>
          <w:b/>
          <w:i/>
          <w:sz w:val="22"/>
          <w:szCs w:val="22"/>
        </w:rPr>
        <w:lastRenderedPageBreak/>
        <w:br/>
      </w:r>
      <w:r w:rsidR="003F6DDF" w:rsidRPr="00BC2818">
        <w:rPr>
          <w:rFonts w:asciiTheme="minorHAnsi" w:hAnsiTheme="minorHAnsi" w:cstheme="minorHAnsi"/>
          <w:b/>
          <w:i/>
          <w:sz w:val="21"/>
          <w:szCs w:val="21"/>
        </w:rPr>
        <w:t>Academic Requirements</w:t>
      </w:r>
    </w:p>
    <w:p w14:paraId="4A8B0DB5" w14:textId="42C8E43B" w:rsidR="00A06CAA" w:rsidRPr="00A06CAA" w:rsidRDefault="00A06CAA" w:rsidP="00A06CAA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A06CAA">
        <w:rPr>
          <w:rFonts w:asciiTheme="minorHAnsi" w:hAnsiTheme="minorHAnsi" w:cstheme="minorHAnsi"/>
          <w:iCs/>
          <w:sz w:val="20"/>
          <w:szCs w:val="20"/>
        </w:rPr>
        <w:t>The goal of the CEP is to complete the pre-pharmacy curriculum within two academic years to allow for matriculation into the School of Pharmacy no later than the 3</w:t>
      </w:r>
      <w:r w:rsidRPr="00A06CAA">
        <w:rPr>
          <w:rFonts w:asciiTheme="minorHAnsi" w:hAnsiTheme="minorHAnsi" w:cstheme="minorHAnsi"/>
          <w:iCs/>
          <w:sz w:val="20"/>
          <w:szCs w:val="20"/>
          <w:vertAlign w:val="superscript"/>
        </w:rPr>
        <w:t>rd</w:t>
      </w:r>
      <w:r w:rsidRPr="00A06CAA">
        <w:rPr>
          <w:rFonts w:asciiTheme="minorHAnsi" w:hAnsiTheme="minorHAnsi" w:cstheme="minorHAnsi"/>
          <w:iCs/>
          <w:sz w:val="20"/>
          <w:szCs w:val="20"/>
        </w:rPr>
        <w:t xml:space="preserve"> fall after starting the </w:t>
      </w:r>
      <w:r w:rsidRPr="004E3012">
        <w:rPr>
          <w:rFonts w:asciiTheme="minorHAnsi" w:hAnsiTheme="minorHAnsi" w:cstheme="minorHAnsi"/>
          <w:iCs/>
          <w:sz w:val="20"/>
          <w:szCs w:val="20"/>
        </w:rPr>
        <w:t xml:space="preserve">CEP program. </w:t>
      </w:r>
      <w:r w:rsidR="004E3012" w:rsidRPr="004E3012">
        <w:rPr>
          <w:rStyle w:val="ui-provider"/>
          <w:rFonts w:asciiTheme="minorHAnsi" w:hAnsiTheme="minorHAnsi" w:cstheme="minorHAnsi"/>
          <w:sz w:val="20"/>
          <w:szCs w:val="20"/>
        </w:rPr>
        <w:t>Students may consider an extended CEP program due to professional and/or academic needs or desires. </w:t>
      </w:r>
      <w:r w:rsidRPr="004E3012">
        <w:rPr>
          <w:rFonts w:asciiTheme="minorHAnsi" w:hAnsiTheme="minorHAnsi" w:cstheme="minorHAnsi"/>
          <w:iCs/>
          <w:sz w:val="20"/>
          <w:szCs w:val="20"/>
        </w:rPr>
        <w:t xml:space="preserve"> Approval must</w:t>
      </w:r>
      <w:r w:rsidRPr="00A06CAA">
        <w:rPr>
          <w:rFonts w:asciiTheme="minorHAnsi" w:hAnsiTheme="minorHAnsi" w:cstheme="minorHAnsi"/>
          <w:iCs/>
          <w:sz w:val="20"/>
          <w:szCs w:val="20"/>
        </w:rPr>
        <w:t xml:space="preserve"> be obtained by the SOP Office of Professional and Student Affairs.</w:t>
      </w:r>
    </w:p>
    <w:p w14:paraId="55741E74" w14:textId="40E44D98" w:rsidR="006D6368" w:rsidRPr="00B1672A" w:rsidRDefault="003F6DDF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B1672A">
        <w:rPr>
          <w:rFonts w:asciiTheme="minorHAnsi" w:hAnsiTheme="minorHAnsi" w:cstheme="minorHAnsi"/>
          <w:sz w:val="20"/>
          <w:szCs w:val="20"/>
        </w:rPr>
        <w:t>By the end of the fall semester of the year</w:t>
      </w:r>
      <w:r w:rsidR="00030234" w:rsidRPr="00B1672A">
        <w:rPr>
          <w:rFonts w:asciiTheme="minorHAnsi" w:hAnsiTheme="minorHAnsi" w:cstheme="minorHAnsi"/>
          <w:sz w:val="20"/>
          <w:szCs w:val="20"/>
        </w:rPr>
        <w:t xml:space="preserve"> they apply to pharmacy school</w:t>
      </w:r>
      <w:r w:rsidRPr="00B1672A">
        <w:rPr>
          <w:rFonts w:asciiTheme="minorHAnsi" w:hAnsiTheme="minorHAnsi" w:cstheme="minorHAnsi"/>
          <w:sz w:val="20"/>
          <w:szCs w:val="20"/>
        </w:rPr>
        <w:t>, earn a minimum pre-pharmacy GPA (pGPA) of 3.5; and, earn a pre-pharmacy math and science GPA (msGPA) of 3.5.</w:t>
      </w:r>
    </w:p>
    <w:p w14:paraId="62C12FFD" w14:textId="77777777" w:rsidR="006D6368" w:rsidRPr="00B1672A" w:rsidRDefault="003F6DDF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B1672A">
        <w:rPr>
          <w:rFonts w:asciiTheme="minorHAnsi" w:hAnsiTheme="minorHAnsi" w:cstheme="minorHAnsi"/>
          <w:sz w:val="20"/>
          <w:szCs w:val="20"/>
        </w:rPr>
        <w:t>All enrolled courses must be completed with a grade of C or better.</w:t>
      </w:r>
    </w:p>
    <w:p w14:paraId="285AF3AC" w14:textId="77777777" w:rsidR="006D6368" w:rsidRPr="00B1672A" w:rsidRDefault="003F6DDF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B1672A">
        <w:rPr>
          <w:rFonts w:asciiTheme="minorHAnsi" w:hAnsiTheme="minorHAnsi" w:cstheme="minorHAnsi"/>
          <w:sz w:val="20"/>
          <w:szCs w:val="20"/>
        </w:rPr>
        <w:t>Grades from repeated courses will not be used in computing the pGPA or msGPA.</w:t>
      </w:r>
    </w:p>
    <w:p w14:paraId="4442E381" w14:textId="77777777" w:rsidR="006D6368" w:rsidRPr="00B1672A" w:rsidRDefault="003F6DDF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B1672A">
        <w:rPr>
          <w:rFonts w:asciiTheme="minorHAnsi" w:hAnsiTheme="minorHAnsi" w:cstheme="minorHAnsi"/>
          <w:sz w:val="20"/>
          <w:szCs w:val="20"/>
        </w:rPr>
        <w:t>Withdrawal from an enrolled course is not allowed without prior written approval from a</w:t>
      </w:r>
      <w:r w:rsidR="00592EDF" w:rsidRPr="00B1672A">
        <w:rPr>
          <w:rFonts w:asciiTheme="minorHAnsi" w:hAnsiTheme="minorHAnsi" w:cstheme="minorHAnsi"/>
          <w:sz w:val="20"/>
          <w:szCs w:val="20"/>
        </w:rPr>
        <w:t xml:space="preserve">n academic advisor in the SOP. </w:t>
      </w:r>
      <w:r w:rsidRPr="00B1672A">
        <w:rPr>
          <w:rFonts w:asciiTheme="minorHAnsi" w:hAnsiTheme="minorHAnsi" w:cstheme="minorHAnsi"/>
          <w:sz w:val="20"/>
          <w:szCs w:val="20"/>
        </w:rPr>
        <w:t>In the event an approval to withdraw is granted, the entirety of the pre-pharmacy curriculum must still be completed according to the conditions listed above.</w:t>
      </w:r>
    </w:p>
    <w:p w14:paraId="551E936B" w14:textId="77777777" w:rsidR="006D6368" w:rsidRPr="00B1672A" w:rsidRDefault="003F6DDF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B1672A">
        <w:rPr>
          <w:rFonts w:asciiTheme="minorHAnsi" w:hAnsiTheme="minorHAnsi" w:cstheme="minorHAnsi"/>
          <w:sz w:val="20"/>
          <w:szCs w:val="20"/>
        </w:rPr>
        <w:t>All non-SIUE coursework must be approved by an academic advisor in the SOP and the courses must articulate to SIUE courses through SIUE’s Transfer Credit Equivalency Guide.</w:t>
      </w:r>
    </w:p>
    <w:p w14:paraId="110A5B9F" w14:textId="699E46E7" w:rsidR="006D6368" w:rsidRPr="00B1672A" w:rsidRDefault="003F6DDF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B1672A">
        <w:rPr>
          <w:rFonts w:asciiTheme="minorHAnsi" w:hAnsiTheme="minorHAnsi" w:cstheme="minorHAnsi"/>
          <w:sz w:val="20"/>
          <w:szCs w:val="20"/>
        </w:rPr>
        <w:t>AP and dual credit courses may be applied towards the completion of the pre-pharmacy curriculum</w:t>
      </w:r>
      <w:r w:rsidR="00B85D81">
        <w:rPr>
          <w:rFonts w:asciiTheme="minorHAnsi" w:hAnsiTheme="minorHAnsi" w:cstheme="minorHAnsi"/>
          <w:sz w:val="20"/>
          <w:szCs w:val="20"/>
        </w:rPr>
        <w:t xml:space="preserve">; however, </w:t>
      </w:r>
      <w:r w:rsidRPr="00B1672A">
        <w:rPr>
          <w:rFonts w:asciiTheme="minorHAnsi" w:hAnsiTheme="minorHAnsi" w:cstheme="minorHAnsi"/>
          <w:sz w:val="20"/>
          <w:szCs w:val="20"/>
        </w:rPr>
        <w:t>AP grades will not be included in pGPA or msGPA calculations.</w:t>
      </w:r>
    </w:p>
    <w:p w14:paraId="55699DE1" w14:textId="2813BCCC" w:rsidR="006D6368" w:rsidRPr="00BC2818" w:rsidRDefault="003F6DDF" w:rsidP="00AC506C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B1672A">
        <w:rPr>
          <w:rFonts w:asciiTheme="minorHAnsi" w:hAnsiTheme="minorHAnsi" w:cstheme="minorHAnsi"/>
          <w:sz w:val="20"/>
          <w:szCs w:val="20"/>
        </w:rPr>
        <w:t xml:space="preserve">The </w:t>
      </w:r>
      <w:r w:rsidR="003038BD" w:rsidRPr="00B1672A">
        <w:rPr>
          <w:rFonts w:asciiTheme="minorHAnsi" w:hAnsiTheme="minorHAnsi" w:cstheme="minorHAnsi"/>
          <w:sz w:val="20"/>
          <w:szCs w:val="20"/>
        </w:rPr>
        <w:t xml:space="preserve">SIUE </w:t>
      </w:r>
      <w:r w:rsidR="001E0958" w:rsidRPr="00B1672A">
        <w:rPr>
          <w:rFonts w:asciiTheme="minorHAnsi" w:hAnsiTheme="minorHAnsi" w:cstheme="minorHAnsi"/>
          <w:sz w:val="20"/>
          <w:szCs w:val="20"/>
        </w:rPr>
        <w:t>pre-pharmacy curriculum</w:t>
      </w:r>
      <w:r w:rsidR="003E6582" w:rsidRPr="00B1672A">
        <w:rPr>
          <w:rFonts w:asciiTheme="minorHAnsi" w:hAnsiTheme="minorHAnsi" w:cstheme="minorHAnsi"/>
          <w:sz w:val="20"/>
          <w:szCs w:val="20"/>
        </w:rPr>
        <w:t xml:space="preserve"> </w:t>
      </w:r>
      <w:r w:rsidRPr="00B1672A">
        <w:rPr>
          <w:rFonts w:asciiTheme="minorHAnsi" w:hAnsiTheme="minorHAnsi" w:cstheme="minorHAnsi"/>
          <w:sz w:val="20"/>
          <w:szCs w:val="20"/>
        </w:rPr>
        <w:t xml:space="preserve">must be completed </w:t>
      </w:r>
      <w:r w:rsidR="005503AE">
        <w:rPr>
          <w:rFonts w:asciiTheme="minorHAnsi" w:hAnsiTheme="minorHAnsi" w:cstheme="minorHAnsi"/>
          <w:sz w:val="20"/>
          <w:szCs w:val="20"/>
        </w:rPr>
        <w:t>before</w:t>
      </w:r>
      <w:r w:rsidRPr="00B1672A">
        <w:rPr>
          <w:rFonts w:asciiTheme="minorHAnsi" w:hAnsiTheme="minorHAnsi" w:cstheme="minorHAnsi"/>
          <w:sz w:val="20"/>
          <w:szCs w:val="20"/>
        </w:rPr>
        <w:t xml:space="preserve"> enrollment in the PharmD program.</w:t>
      </w:r>
      <w:r w:rsidR="00592EDF" w:rsidRPr="00B1672A">
        <w:rPr>
          <w:rFonts w:asciiTheme="minorHAnsi" w:hAnsiTheme="minorHAnsi" w:cstheme="minorHAnsi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r w:rsidR="00592EDF" w:rsidRPr="00B1672A">
        <w:rPr>
          <w:rFonts w:asciiTheme="minorHAnsi" w:hAnsiTheme="minorHAnsi" w:cstheme="minorHAnsi"/>
          <w:iCs/>
          <w:sz w:val="20"/>
          <w:szCs w:val="20"/>
        </w:rPr>
        <w:t>However, if it becomes necessary for an applicant to complete any Pre-Pharmacy courses during the summer preceding fall admission, then prior approval from the SOP Office of Professional &amp; Student Affairs will be required.  Applicants are encouraged to </w:t>
      </w:r>
      <w:hyperlink r:id="rId11" w:history="1">
        <w:r w:rsidR="00592EDF" w:rsidRPr="00B1672A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contact the SOP</w:t>
        </w:r>
      </w:hyperlink>
      <w:r w:rsidR="00592EDF" w:rsidRPr="00B1672A">
        <w:rPr>
          <w:rFonts w:asciiTheme="minorHAnsi" w:hAnsiTheme="minorHAnsi" w:cstheme="minorHAnsi"/>
          <w:iCs/>
          <w:sz w:val="20"/>
          <w:szCs w:val="20"/>
        </w:rPr>
        <w:t xml:space="preserve"> early in the application process to discuss any unusual circumstances that may impact </w:t>
      </w:r>
      <w:r w:rsidR="005B700B">
        <w:rPr>
          <w:rFonts w:asciiTheme="minorHAnsi" w:hAnsiTheme="minorHAnsi" w:cstheme="minorHAnsi"/>
          <w:iCs/>
          <w:sz w:val="20"/>
          <w:szCs w:val="20"/>
        </w:rPr>
        <w:t>their</w:t>
      </w:r>
      <w:r w:rsidR="00592EDF" w:rsidRPr="00B1672A">
        <w:rPr>
          <w:rFonts w:asciiTheme="minorHAnsi" w:hAnsiTheme="minorHAnsi" w:cstheme="minorHAnsi"/>
          <w:iCs/>
          <w:sz w:val="20"/>
          <w:szCs w:val="20"/>
        </w:rPr>
        <w:t xml:space="preserve"> overall application.</w:t>
      </w:r>
    </w:p>
    <w:bookmarkEnd w:id="0"/>
    <w:p w14:paraId="4FDAA6A4" w14:textId="77777777" w:rsidR="00A06CB0" w:rsidRPr="00B1672A" w:rsidRDefault="00A06CB0" w:rsidP="00787267">
      <w:pPr>
        <w:pStyle w:val="NoSpacing"/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</w:p>
    <w:p w14:paraId="1237BC9E" w14:textId="3685F515" w:rsidR="00952630" w:rsidRPr="00BC2818" w:rsidRDefault="00030B1F" w:rsidP="00A0471E">
      <w:pPr>
        <w:pStyle w:val="NoSpacing"/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BC2818">
        <w:rPr>
          <w:rFonts w:asciiTheme="minorHAnsi" w:hAnsiTheme="minorHAnsi" w:cstheme="minorHAnsi"/>
          <w:sz w:val="20"/>
          <w:szCs w:val="20"/>
        </w:rPr>
        <w:t>I</w:t>
      </w:r>
      <w:r w:rsidR="0072126F" w:rsidRPr="00BC2818">
        <w:rPr>
          <w:rFonts w:asciiTheme="minorHAnsi" w:hAnsiTheme="minorHAnsi" w:cstheme="minorHAnsi"/>
          <w:sz w:val="20"/>
          <w:szCs w:val="20"/>
        </w:rPr>
        <w:t xml:space="preserve">nformation regarding the </w:t>
      </w:r>
      <w:r w:rsidR="00952630" w:rsidRPr="00BC2818">
        <w:rPr>
          <w:rFonts w:asciiTheme="minorHAnsi" w:hAnsiTheme="minorHAnsi" w:cstheme="minorHAnsi"/>
          <w:b/>
          <w:sz w:val="20"/>
          <w:szCs w:val="20"/>
        </w:rPr>
        <w:t>Program Requirements</w:t>
      </w:r>
      <w:r w:rsidR="00A0471E" w:rsidRPr="00BC2818">
        <w:rPr>
          <w:rFonts w:asciiTheme="minorHAnsi" w:hAnsiTheme="minorHAnsi" w:cstheme="minorHAnsi"/>
          <w:sz w:val="20"/>
          <w:szCs w:val="20"/>
        </w:rPr>
        <w:t xml:space="preserve"> for matriculation </w:t>
      </w:r>
      <w:r w:rsidR="003C7DE7" w:rsidRPr="00BC2818">
        <w:rPr>
          <w:rFonts w:asciiTheme="minorHAnsi" w:hAnsiTheme="minorHAnsi" w:cstheme="minorHAnsi"/>
          <w:sz w:val="20"/>
          <w:szCs w:val="20"/>
        </w:rPr>
        <w:t>in</w:t>
      </w:r>
      <w:r w:rsidR="00A0471E" w:rsidRPr="00BC2818">
        <w:rPr>
          <w:rFonts w:asciiTheme="minorHAnsi" w:hAnsiTheme="minorHAnsi" w:cstheme="minorHAnsi"/>
          <w:sz w:val="20"/>
          <w:szCs w:val="20"/>
        </w:rPr>
        <w:t>to the Doctor of Pharmacy program</w:t>
      </w:r>
      <w:r w:rsidR="00952630" w:rsidRPr="00BC2818">
        <w:rPr>
          <w:rFonts w:asciiTheme="minorHAnsi" w:hAnsiTheme="minorHAnsi" w:cstheme="minorHAnsi"/>
          <w:sz w:val="20"/>
          <w:szCs w:val="20"/>
        </w:rPr>
        <w:t xml:space="preserve"> </w:t>
      </w:r>
      <w:r w:rsidR="005503AE">
        <w:rPr>
          <w:rFonts w:asciiTheme="minorHAnsi" w:hAnsiTheme="minorHAnsi" w:cstheme="minorHAnsi"/>
          <w:sz w:val="20"/>
          <w:szCs w:val="20"/>
        </w:rPr>
        <w:t>is</w:t>
      </w:r>
      <w:r w:rsidR="0072126F" w:rsidRPr="00BC2818">
        <w:rPr>
          <w:rFonts w:asciiTheme="minorHAnsi" w:hAnsiTheme="minorHAnsi" w:cstheme="minorHAnsi"/>
          <w:sz w:val="20"/>
          <w:szCs w:val="20"/>
        </w:rPr>
        <w:t xml:space="preserve"> available at </w:t>
      </w:r>
      <w:hyperlink r:id="rId12" w:history="1">
        <w:r w:rsidR="003C7DE7" w:rsidRPr="00BC2818">
          <w:rPr>
            <w:rStyle w:val="Hyperlink"/>
            <w:rFonts w:asciiTheme="minorHAnsi" w:hAnsiTheme="minorHAnsi" w:cstheme="minorHAnsi"/>
            <w:sz w:val="20"/>
            <w:szCs w:val="20"/>
          </w:rPr>
          <w:t>https://www.siue.edu/pharmacy/admission/conditional-entry.shtml</w:t>
        </w:r>
      </w:hyperlink>
      <w:r w:rsidR="003C7DE7" w:rsidRPr="00BC281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4BC778" w14:textId="77777777" w:rsidR="00464560" w:rsidRPr="00B1672A" w:rsidRDefault="00464560" w:rsidP="00787267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</w:p>
    <w:p w14:paraId="19305124" w14:textId="77777777" w:rsidR="00A0471E" w:rsidRPr="00B1672A" w:rsidRDefault="00A0471E" w:rsidP="00A0471E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672A">
        <w:rPr>
          <w:rFonts w:asciiTheme="minorHAnsi" w:hAnsiTheme="minorHAnsi" w:cstheme="minorHAnsi"/>
          <w:b/>
          <w:sz w:val="20"/>
          <w:szCs w:val="20"/>
        </w:rPr>
        <w:t>SIUE Pre-Pharmacy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1700"/>
        <w:gridCol w:w="2107"/>
        <w:gridCol w:w="1888"/>
        <w:gridCol w:w="1877"/>
        <w:gridCol w:w="1427"/>
      </w:tblGrid>
      <w:tr w:rsidR="004F1F54" w:rsidRPr="00B1672A" w14:paraId="737F65E6" w14:textId="77777777" w:rsidTr="00A06CAA">
        <w:tc>
          <w:tcPr>
            <w:tcW w:w="1791" w:type="dxa"/>
          </w:tcPr>
          <w:p w14:paraId="6DA58002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b/>
                <w:sz w:val="16"/>
                <w:szCs w:val="16"/>
              </w:rPr>
              <w:t>Biology</w:t>
            </w:r>
          </w:p>
        </w:tc>
        <w:tc>
          <w:tcPr>
            <w:tcW w:w="1700" w:type="dxa"/>
          </w:tcPr>
          <w:p w14:paraId="012CB3D5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b/>
                <w:sz w:val="16"/>
                <w:szCs w:val="16"/>
              </w:rPr>
              <w:t>Chemistry</w:t>
            </w:r>
          </w:p>
        </w:tc>
        <w:tc>
          <w:tcPr>
            <w:tcW w:w="2107" w:type="dxa"/>
          </w:tcPr>
          <w:p w14:paraId="2AFBA375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b/>
                <w:sz w:val="16"/>
                <w:szCs w:val="16"/>
              </w:rPr>
              <w:t>Math/Stat/Physics</w:t>
            </w:r>
          </w:p>
        </w:tc>
        <w:tc>
          <w:tcPr>
            <w:tcW w:w="1888" w:type="dxa"/>
            <w:shd w:val="clear" w:color="auto" w:fill="auto"/>
          </w:tcPr>
          <w:p w14:paraId="12BA9860" w14:textId="77777777" w:rsidR="004F1F54" w:rsidRPr="00A06CAA" w:rsidRDefault="004F1F54" w:rsidP="00C821B7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6CA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Additional </w:t>
            </w:r>
            <w:r w:rsidR="00011AE7" w:rsidRPr="00A06CA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Required </w:t>
            </w:r>
            <w:r w:rsidRPr="00A06CAA">
              <w:rPr>
                <w:rFonts w:asciiTheme="minorHAnsi" w:hAnsiTheme="minorHAnsi" w:cstheme="minorHAnsi"/>
                <w:b/>
                <w:sz w:val="16"/>
                <w:szCs w:val="16"/>
              </w:rPr>
              <w:t>Courses</w:t>
            </w:r>
          </w:p>
        </w:tc>
        <w:tc>
          <w:tcPr>
            <w:tcW w:w="1877" w:type="dxa"/>
            <w:shd w:val="clear" w:color="auto" w:fill="D9D9D9" w:themeFill="background1" w:themeFillShade="D9"/>
          </w:tcPr>
          <w:p w14:paraId="1B7443D3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Honors </w:t>
            </w:r>
            <w:r w:rsidRPr="00BC2818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565AC689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General Education </w:t>
            </w:r>
            <w:r w:rsidRPr="00BC2818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4F1F54" w:rsidRPr="00B1672A" w14:paraId="38EF53E8" w14:textId="77777777" w:rsidTr="00A06CAA">
        <w:tc>
          <w:tcPr>
            <w:tcW w:w="1791" w:type="dxa"/>
          </w:tcPr>
          <w:p w14:paraId="79750EE7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BIOL 150-Introduction to Biological Sciences I</w:t>
            </w:r>
          </w:p>
        </w:tc>
        <w:tc>
          <w:tcPr>
            <w:tcW w:w="1700" w:type="dxa"/>
          </w:tcPr>
          <w:p w14:paraId="1AC9B8EB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CHEM 121a and 125a-General Chemistry I and lab</w:t>
            </w:r>
          </w:p>
        </w:tc>
        <w:tc>
          <w:tcPr>
            <w:tcW w:w="2107" w:type="dxa"/>
          </w:tcPr>
          <w:p w14:paraId="57EC3516" w14:textId="339116B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 xml:space="preserve">MATH 150-Calculus </w:t>
            </w:r>
            <w:r w:rsidRPr="00BC2818">
              <w:rPr>
                <w:rFonts w:asciiTheme="minorHAnsi" w:hAnsiTheme="minorHAnsi" w:cstheme="minorHAnsi"/>
                <w:b/>
                <w:sz w:val="16"/>
                <w:szCs w:val="16"/>
              </w:rPr>
              <w:t>OR</w:t>
            </w: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 xml:space="preserve"> MATH 145-Calculus for the Life Sciences</w:t>
            </w:r>
          </w:p>
          <w:p w14:paraId="1BBD6F13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8" w:type="dxa"/>
            <w:shd w:val="clear" w:color="auto" w:fill="auto"/>
          </w:tcPr>
          <w:p w14:paraId="4D5AFCD3" w14:textId="119C485F" w:rsidR="004F1F54" w:rsidRPr="00A06CAA" w:rsidRDefault="00947E18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A06CAA">
              <w:rPr>
                <w:rFonts w:asciiTheme="minorHAnsi" w:hAnsiTheme="minorHAnsi" w:cstheme="minorHAnsi"/>
                <w:sz w:val="16"/>
                <w:szCs w:val="16"/>
              </w:rPr>
              <w:t xml:space="preserve">ECON 111-Macroeconomics </w:t>
            </w:r>
            <w:r w:rsidRPr="00A06CAA">
              <w:rPr>
                <w:rFonts w:asciiTheme="minorHAnsi" w:hAnsiTheme="minorHAnsi" w:cstheme="minorHAnsi"/>
                <w:b/>
                <w:sz w:val="16"/>
                <w:szCs w:val="16"/>
              </w:rPr>
              <w:t>OR</w:t>
            </w:r>
            <w:r w:rsidRPr="00A06CAA">
              <w:rPr>
                <w:rFonts w:asciiTheme="minorHAnsi" w:hAnsiTheme="minorHAnsi" w:cstheme="minorHAnsi"/>
                <w:sz w:val="16"/>
                <w:szCs w:val="16"/>
              </w:rPr>
              <w:t xml:space="preserve"> ECON 112-Microeconomics</w:t>
            </w:r>
          </w:p>
        </w:tc>
        <w:tc>
          <w:tcPr>
            <w:tcW w:w="1877" w:type="dxa"/>
            <w:shd w:val="clear" w:color="auto" w:fill="D9D9D9" w:themeFill="background1" w:themeFillShade="D9"/>
          </w:tcPr>
          <w:p w14:paraId="36A20B16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 xml:space="preserve">HONS 120- Questions and the Spirit of Inquiry </w:t>
            </w:r>
            <w:r w:rsidRPr="00BC2818">
              <w:rPr>
                <w:rFonts w:asciiTheme="minorHAnsi" w:hAnsiTheme="minorHAnsi" w:cstheme="minorHAnsi"/>
                <w:b/>
                <w:sz w:val="16"/>
                <w:szCs w:val="16"/>
              </w:rPr>
              <w:t>AND</w:t>
            </w: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 xml:space="preserve"> HONS 121-Honors Rhetoric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01901C12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ENG 101-Composition I</w:t>
            </w:r>
          </w:p>
          <w:p w14:paraId="1091802F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ENG 102-Composition II</w:t>
            </w:r>
          </w:p>
        </w:tc>
      </w:tr>
      <w:tr w:rsidR="004F1F54" w:rsidRPr="00B1672A" w14:paraId="36F5BC9B" w14:textId="77777777" w:rsidTr="00DF6AC4">
        <w:tc>
          <w:tcPr>
            <w:tcW w:w="1791" w:type="dxa"/>
          </w:tcPr>
          <w:p w14:paraId="5072BF8A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BIOL 151-Introduction to Biological Sciences II</w:t>
            </w:r>
          </w:p>
        </w:tc>
        <w:tc>
          <w:tcPr>
            <w:tcW w:w="1700" w:type="dxa"/>
          </w:tcPr>
          <w:p w14:paraId="5D2AE19B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CHEM 121b and 125b-General Chemistry II  and lab</w:t>
            </w:r>
          </w:p>
        </w:tc>
        <w:tc>
          <w:tcPr>
            <w:tcW w:w="2107" w:type="dxa"/>
          </w:tcPr>
          <w:p w14:paraId="511DD44B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STAT 244-Statistics</w:t>
            </w:r>
          </w:p>
        </w:tc>
        <w:tc>
          <w:tcPr>
            <w:tcW w:w="1888" w:type="dxa"/>
          </w:tcPr>
          <w:p w14:paraId="00662B0D" w14:textId="5668E815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</w:tcPr>
          <w:p w14:paraId="6A8E311E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 xml:space="preserve">HONS 250-Connections </w:t>
            </w:r>
            <w:r w:rsidRPr="00BC281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AND </w:t>
            </w: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HONS 200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6BFF29DC" w14:textId="77777777" w:rsidR="004F1F54" w:rsidRPr="00BC2818" w:rsidRDefault="001F75DF" w:rsidP="001F75DF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ACS 101 – Public Speaking</w:t>
            </w:r>
          </w:p>
        </w:tc>
      </w:tr>
      <w:tr w:rsidR="00DF6AC4" w:rsidRPr="00B1672A" w14:paraId="2EF00538" w14:textId="77777777" w:rsidTr="00DF6AC4">
        <w:tc>
          <w:tcPr>
            <w:tcW w:w="1791" w:type="dxa"/>
          </w:tcPr>
          <w:p w14:paraId="0C515E81" w14:textId="77777777" w:rsidR="00DF6AC4" w:rsidRPr="00BC2818" w:rsidRDefault="00DF6AC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BIOL 240a-Anatomy and Physiology I</w:t>
            </w:r>
          </w:p>
        </w:tc>
        <w:tc>
          <w:tcPr>
            <w:tcW w:w="1700" w:type="dxa"/>
          </w:tcPr>
          <w:p w14:paraId="28A32653" w14:textId="77777777" w:rsidR="00DF6AC4" w:rsidRPr="00BC2818" w:rsidRDefault="00DF6AC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CHEM 241a-Organic Chemistry I</w:t>
            </w:r>
          </w:p>
        </w:tc>
        <w:tc>
          <w:tcPr>
            <w:tcW w:w="2107" w:type="dxa"/>
          </w:tcPr>
          <w:p w14:paraId="1601FF1E" w14:textId="77777777" w:rsidR="00DF6AC4" w:rsidRPr="00BC2818" w:rsidRDefault="00DF6AC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PHYS 131 and 131L- College Physics I and lab</w:t>
            </w:r>
          </w:p>
        </w:tc>
        <w:tc>
          <w:tcPr>
            <w:tcW w:w="1888" w:type="dxa"/>
          </w:tcPr>
          <w:p w14:paraId="65A4E7E1" w14:textId="77777777" w:rsidR="00DF6AC4" w:rsidRPr="00BC2818" w:rsidRDefault="00DF6AC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7" w:type="dxa"/>
            <w:vMerge w:val="restart"/>
            <w:shd w:val="clear" w:color="auto" w:fill="D9D9D9" w:themeFill="background1" w:themeFillShade="D9"/>
          </w:tcPr>
          <w:p w14:paraId="0260959C" w14:textId="1C360819" w:rsidR="00947E18" w:rsidRPr="00BC2818" w:rsidRDefault="00DF6AC4" w:rsidP="00947E1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HONS 320a-Problems in the Social Sciences</w:t>
            </w:r>
            <w:r w:rsidRPr="00BC2818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4E58203E" w14:textId="602138C7" w:rsidR="00DF6AC4" w:rsidRPr="00BC2818" w:rsidRDefault="00DF6AC4" w:rsidP="0082176A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25D9C890" w14:textId="77777777" w:rsidR="00DF6AC4" w:rsidRPr="00BC2818" w:rsidRDefault="00DF6AC4" w:rsidP="00723FAB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RA 101-Reasoning and Argumentation</w:t>
            </w:r>
          </w:p>
        </w:tc>
      </w:tr>
      <w:tr w:rsidR="00DF6AC4" w:rsidRPr="00B1672A" w14:paraId="4767C8E0" w14:textId="77777777" w:rsidTr="00DF6AC4">
        <w:tc>
          <w:tcPr>
            <w:tcW w:w="1791" w:type="dxa"/>
          </w:tcPr>
          <w:p w14:paraId="49050511" w14:textId="77777777" w:rsidR="00DF6AC4" w:rsidRPr="00BC2818" w:rsidRDefault="00DF6AC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BIOL 240b-Anatomy and Physiology II</w:t>
            </w:r>
          </w:p>
        </w:tc>
        <w:tc>
          <w:tcPr>
            <w:tcW w:w="1700" w:type="dxa"/>
          </w:tcPr>
          <w:p w14:paraId="60A04134" w14:textId="77777777" w:rsidR="00DF6AC4" w:rsidRPr="00BC2818" w:rsidRDefault="00DF6AC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CHEM 241b and 245-Organic Chemistry II and lab</w:t>
            </w:r>
          </w:p>
        </w:tc>
        <w:tc>
          <w:tcPr>
            <w:tcW w:w="2107" w:type="dxa"/>
          </w:tcPr>
          <w:p w14:paraId="7EF25488" w14:textId="77777777" w:rsidR="00DF6AC4" w:rsidRPr="00BC2818" w:rsidRDefault="00DF6AC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8" w:type="dxa"/>
          </w:tcPr>
          <w:p w14:paraId="31A1F425" w14:textId="77777777" w:rsidR="00DF6AC4" w:rsidRPr="00BC2818" w:rsidRDefault="00DF6AC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7" w:type="dxa"/>
            <w:vMerge/>
            <w:shd w:val="clear" w:color="auto" w:fill="D9D9D9" w:themeFill="background1" w:themeFillShade="D9"/>
          </w:tcPr>
          <w:p w14:paraId="2D200A55" w14:textId="77777777" w:rsidR="00DF6AC4" w:rsidRPr="00BC2818" w:rsidRDefault="00DF6AC4" w:rsidP="0082176A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41391F05" w14:textId="77777777" w:rsidR="00DF6AC4" w:rsidRPr="00BC2818" w:rsidRDefault="00DE3997" w:rsidP="0082176A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FST 101 – Succeeding &amp; Engaging at SIUE</w:t>
            </w:r>
          </w:p>
        </w:tc>
      </w:tr>
      <w:tr w:rsidR="004F1F54" w:rsidRPr="00B1672A" w14:paraId="1D03A2DC" w14:textId="77777777" w:rsidTr="00DF6AC4">
        <w:tc>
          <w:tcPr>
            <w:tcW w:w="1791" w:type="dxa"/>
          </w:tcPr>
          <w:p w14:paraId="73920CD8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 xml:space="preserve">BIOL 250- Bacteriology </w:t>
            </w:r>
            <w:r w:rsidRPr="00BC281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OR </w:t>
            </w: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 xml:space="preserve">BIOL 350-Microbiology </w:t>
            </w:r>
            <w:r w:rsidRPr="00BC2818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00" w:type="dxa"/>
          </w:tcPr>
          <w:p w14:paraId="4503A1A5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7" w:type="dxa"/>
          </w:tcPr>
          <w:p w14:paraId="375D156D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8" w:type="dxa"/>
          </w:tcPr>
          <w:p w14:paraId="090BD250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</w:tcPr>
          <w:p w14:paraId="25900721" w14:textId="77777777" w:rsidR="004F1F54" w:rsidRPr="00BC2818" w:rsidRDefault="004F1F54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>HONS 499 – Interdisciplinary Project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216E3C15" w14:textId="0507B5F6" w:rsidR="004F1F54" w:rsidRPr="00BC2818" w:rsidRDefault="00947E18" w:rsidP="00C821B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 xml:space="preserve">PSYC 111-Introduction to Psychology </w:t>
            </w:r>
            <w:r w:rsidRPr="00BC2818">
              <w:rPr>
                <w:rFonts w:asciiTheme="minorHAnsi" w:hAnsiTheme="minorHAnsi" w:cstheme="minorHAnsi"/>
                <w:b/>
                <w:sz w:val="16"/>
                <w:szCs w:val="16"/>
              </w:rPr>
              <w:t>OR</w:t>
            </w:r>
            <w:r w:rsidRPr="00BC2818">
              <w:rPr>
                <w:rFonts w:asciiTheme="minorHAnsi" w:hAnsiTheme="minorHAnsi" w:cstheme="minorHAnsi"/>
                <w:sz w:val="16"/>
                <w:szCs w:val="16"/>
              </w:rPr>
              <w:t xml:space="preserve"> SOC 111-Introduction to Sociology</w:t>
            </w:r>
          </w:p>
        </w:tc>
      </w:tr>
    </w:tbl>
    <w:p w14:paraId="2F8B925D" w14:textId="77777777" w:rsidR="00A0471E" w:rsidRPr="00BC2818" w:rsidRDefault="00A0471E" w:rsidP="00A0471E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BC2818">
        <w:rPr>
          <w:rFonts w:asciiTheme="minorHAnsi" w:hAnsiTheme="minorHAnsi" w:cstheme="minorHAnsi"/>
          <w:sz w:val="16"/>
          <w:szCs w:val="16"/>
        </w:rPr>
        <w:t xml:space="preserve">1 Prerequisite for BIOL 350 is BIOL 220-Genetics   </w:t>
      </w:r>
    </w:p>
    <w:p w14:paraId="187AB55B" w14:textId="77777777" w:rsidR="00A0471E" w:rsidRPr="00BC2818" w:rsidRDefault="00A0471E" w:rsidP="00A0471E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BC2818">
        <w:rPr>
          <w:rFonts w:asciiTheme="minorHAnsi" w:hAnsiTheme="minorHAnsi" w:cstheme="minorHAnsi"/>
          <w:sz w:val="16"/>
          <w:szCs w:val="16"/>
        </w:rPr>
        <w:t xml:space="preserve">2 </w:t>
      </w:r>
      <w:r w:rsidR="00723FAB" w:rsidRPr="00BC2818">
        <w:rPr>
          <w:rFonts w:asciiTheme="minorHAnsi" w:hAnsiTheme="minorHAnsi" w:cstheme="minorHAnsi"/>
          <w:sz w:val="16"/>
          <w:szCs w:val="16"/>
        </w:rPr>
        <w:t>Topics will vary</w:t>
      </w:r>
    </w:p>
    <w:p w14:paraId="368C270C" w14:textId="77777777" w:rsidR="004F1F54" w:rsidRPr="00BC2818" w:rsidRDefault="00E5099A" w:rsidP="00A0471E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BC2818">
        <w:rPr>
          <w:rFonts w:asciiTheme="minorHAnsi" w:hAnsiTheme="minorHAnsi" w:cstheme="minorHAnsi"/>
          <w:sz w:val="16"/>
          <w:szCs w:val="16"/>
        </w:rPr>
        <w:t xml:space="preserve">3 </w:t>
      </w:r>
      <w:r w:rsidR="00AF07D6" w:rsidRPr="00BC2818">
        <w:rPr>
          <w:rFonts w:asciiTheme="minorHAnsi" w:hAnsiTheme="minorHAnsi" w:cstheme="minorHAnsi"/>
          <w:sz w:val="16"/>
          <w:szCs w:val="16"/>
        </w:rPr>
        <w:t>CEP student</w:t>
      </w:r>
      <w:r w:rsidRPr="00BC2818">
        <w:rPr>
          <w:rFonts w:asciiTheme="minorHAnsi" w:hAnsiTheme="minorHAnsi" w:cstheme="minorHAnsi"/>
          <w:sz w:val="16"/>
          <w:szCs w:val="16"/>
        </w:rPr>
        <w:t>s</w:t>
      </w:r>
      <w:r w:rsidR="00AF07D6" w:rsidRPr="00BC2818">
        <w:rPr>
          <w:rFonts w:asciiTheme="minorHAnsi" w:hAnsiTheme="minorHAnsi" w:cstheme="minorHAnsi"/>
          <w:sz w:val="16"/>
          <w:szCs w:val="16"/>
        </w:rPr>
        <w:t xml:space="preserve"> must complete either the Honors</w:t>
      </w:r>
      <w:r w:rsidR="00846E72" w:rsidRPr="00BC2818">
        <w:rPr>
          <w:rFonts w:asciiTheme="minorHAnsi" w:hAnsiTheme="minorHAnsi" w:cstheme="minorHAnsi"/>
          <w:sz w:val="16"/>
          <w:szCs w:val="16"/>
        </w:rPr>
        <w:t xml:space="preserve"> Program</w:t>
      </w:r>
      <w:r w:rsidR="00AF07D6" w:rsidRPr="00BC2818">
        <w:rPr>
          <w:rFonts w:asciiTheme="minorHAnsi" w:hAnsiTheme="minorHAnsi" w:cstheme="minorHAnsi"/>
          <w:sz w:val="16"/>
          <w:szCs w:val="16"/>
        </w:rPr>
        <w:t xml:space="preserve"> or the General Education Courses.  </w:t>
      </w:r>
      <w:r w:rsidR="004F1F54" w:rsidRPr="00BC2818">
        <w:rPr>
          <w:rFonts w:asciiTheme="minorHAnsi" w:hAnsiTheme="minorHAnsi" w:cstheme="minorHAnsi"/>
          <w:sz w:val="16"/>
          <w:szCs w:val="16"/>
        </w:rPr>
        <w:t>Students who are awarded the Meridian Scholarship m</w:t>
      </w:r>
      <w:r w:rsidR="00846E72" w:rsidRPr="00BC2818">
        <w:rPr>
          <w:rFonts w:asciiTheme="minorHAnsi" w:hAnsiTheme="minorHAnsi" w:cstheme="minorHAnsi"/>
          <w:sz w:val="16"/>
          <w:szCs w:val="16"/>
        </w:rPr>
        <w:t>ust complete the Honors Program</w:t>
      </w:r>
      <w:r w:rsidR="004F1F54" w:rsidRPr="00BC2818">
        <w:rPr>
          <w:rFonts w:asciiTheme="minorHAnsi" w:hAnsiTheme="minorHAnsi" w:cstheme="minorHAnsi"/>
          <w:sz w:val="16"/>
          <w:szCs w:val="16"/>
        </w:rPr>
        <w:t xml:space="preserve">.  All other CEP students may choose to apply to the Honors Program. </w:t>
      </w:r>
      <w:r w:rsidR="00011AE7" w:rsidRPr="00BC2818">
        <w:rPr>
          <w:rFonts w:asciiTheme="minorHAnsi" w:hAnsiTheme="minorHAnsi" w:cstheme="minorHAnsi"/>
          <w:sz w:val="16"/>
          <w:szCs w:val="16"/>
        </w:rPr>
        <w:t xml:space="preserve">Students </w:t>
      </w:r>
      <w:r w:rsidR="00AF07D6" w:rsidRPr="00BC2818">
        <w:rPr>
          <w:rFonts w:asciiTheme="minorHAnsi" w:hAnsiTheme="minorHAnsi" w:cstheme="minorHAnsi"/>
          <w:sz w:val="16"/>
          <w:szCs w:val="16"/>
        </w:rPr>
        <w:t xml:space="preserve">who </w:t>
      </w:r>
      <w:r w:rsidR="00011AE7" w:rsidRPr="00BC2818">
        <w:rPr>
          <w:rFonts w:asciiTheme="minorHAnsi" w:hAnsiTheme="minorHAnsi" w:cstheme="minorHAnsi"/>
          <w:sz w:val="16"/>
          <w:szCs w:val="16"/>
        </w:rPr>
        <w:t xml:space="preserve">are not in the Honors Program must complete the General Education courses.  </w:t>
      </w:r>
    </w:p>
    <w:p w14:paraId="39C2B9AC" w14:textId="77777777" w:rsidR="00EE20F3" w:rsidRPr="00B1672A" w:rsidRDefault="00EE20F3">
      <w:pPr>
        <w:pStyle w:val="NoSpacing"/>
        <w:rPr>
          <w:rFonts w:asciiTheme="minorHAnsi" w:hAnsiTheme="minorHAnsi" w:cstheme="minorHAnsi"/>
          <w:b/>
          <w:i/>
          <w:sz w:val="20"/>
          <w:szCs w:val="20"/>
        </w:rPr>
      </w:pPr>
    </w:p>
    <w:p w14:paraId="7E59CBCE" w14:textId="77777777" w:rsidR="006D6368" w:rsidRPr="00B1672A" w:rsidRDefault="003F6DDF">
      <w:pPr>
        <w:pStyle w:val="NoSpacing"/>
        <w:rPr>
          <w:rFonts w:asciiTheme="minorHAnsi" w:hAnsiTheme="minorHAnsi" w:cstheme="minorHAnsi"/>
          <w:b/>
          <w:i/>
          <w:sz w:val="20"/>
          <w:szCs w:val="20"/>
        </w:rPr>
      </w:pPr>
      <w:r w:rsidRPr="00B1672A">
        <w:rPr>
          <w:rFonts w:asciiTheme="minorHAnsi" w:hAnsiTheme="minorHAnsi" w:cstheme="minorHAnsi"/>
          <w:b/>
          <w:i/>
          <w:sz w:val="20"/>
          <w:szCs w:val="20"/>
        </w:rPr>
        <w:t>S</w:t>
      </w:r>
      <w:r w:rsidR="00E04532" w:rsidRPr="00B1672A">
        <w:rPr>
          <w:rFonts w:asciiTheme="minorHAnsi" w:hAnsiTheme="minorHAnsi" w:cstheme="minorHAnsi"/>
          <w:b/>
          <w:i/>
          <w:sz w:val="20"/>
          <w:szCs w:val="20"/>
        </w:rPr>
        <w:t>chool of Pharmacy</w:t>
      </w:r>
      <w:r w:rsidRPr="00B1672A">
        <w:rPr>
          <w:rFonts w:asciiTheme="minorHAnsi" w:hAnsiTheme="minorHAnsi" w:cstheme="minorHAnsi"/>
          <w:b/>
          <w:i/>
          <w:sz w:val="20"/>
          <w:szCs w:val="20"/>
        </w:rPr>
        <w:t xml:space="preserve"> Admission</w:t>
      </w:r>
    </w:p>
    <w:p w14:paraId="55EC933F" w14:textId="77777777" w:rsidR="003E6582" w:rsidRPr="00B1672A" w:rsidRDefault="003F6DDF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1672A">
        <w:rPr>
          <w:rFonts w:asciiTheme="minorHAnsi" w:hAnsiTheme="minorHAnsi" w:cstheme="minorHAnsi"/>
          <w:sz w:val="20"/>
          <w:szCs w:val="20"/>
        </w:rPr>
        <w:t xml:space="preserve">Upon meeting all academic and program requirements including submission of the requisite materials </w:t>
      </w:r>
      <w:r w:rsidR="00DC6D34" w:rsidRPr="00B1672A">
        <w:rPr>
          <w:rFonts w:asciiTheme="minorHAnsi" w:hAnsiTheme="minorHAnsi" w:cstheme="minorHAnsi"/>
          <w:sz w:val="20"/>
          <w:szCs w:val="20"/>
        </w:rPr>
        <w:t xml:space="preserve">via the PharmCAS application </w:t>
      </w:r>
      <w:r w:rsidRPr="00B1672A">
        <w:rPr>
          <w:rFonts w:asciiTheme="minorHAnsi" w:hAnsiTheme="minorHAnsi" w:cstheme="minorHAnsi"/>
          <w:sz w:val="20"/>
          <w:szCs w:val="20"/>
        </w:rPr>
        <w:t>and the successful completion of the on-site SOP interview and writing assessment, CEP participants will be admitted to the PharmD program and will occupy the first seats in the incoming fall SOP class</w:t>
      </w:r>
      <w:r w:rsidR="003038BD" w:rsidRPr="00B1672A">
        <w:rPr>
          <w:rFonts w:asciiTheme="minorHAnsi" w:hAnsiTheme="minorHAnsi" w:cstheme="minorHAnsi"/>
          <w:sz w:val="20"/>
          <w:szCs w:val="20"/>
        </w:rPr>
        <w:t>.</w:t>
      </w:r>
    </w:p>
    <w:sectPr w:rsidR="003E6582" w:rsidRPr="00B1672A" w:rsidSect="00540F2D">
      <w:footerReference w:type="default" r:id="rId13"/>
      <w:headerReference w:type="first" r:id="rId14"/>
      <w:footerReference w:type="first" r:id="rId15"/>
      <w:pgSz w:w="12240" w:h="15840"/>
      <w:pgMar w:top="288" w:right="720" w:bottom="576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64410" w14:textId="77777777" w:rsidR="00CC1D95" w:rsidRDefault="00CC1D95" w:rsidP="007868DA">
      <w:r>
        <w:separator/>
      </w:r>
    </w:p>
  </w:endnote>
  <w:endnote w:type="continuationSeparator" w:id="0">
    <w:p w14:paraId="129B216A" w14:textId="77777777" w:rsidR="00CC1D95" w:rsidRDefault="00CC1D95" w:rsidP="0078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D729D" w14:textId="77777777" w:rsidR="00F11377" w:rsidRPr="00461518" w:rsidRDefault="000F0F7D" w:rsidP="00981E1A">
    <w:pPr>
      <w:pStyle w:val="Footer"/>
      <w:tabs>
        <w:tab w:val="clear" w:pos="9360"/>
        <w:tab w:val="right" w:pos="10710"/>
      </w:tabs>
      <w:jc w:val="center"/>
      <w:rPr>
        <w:rFonts w:asciiTheme="minorHAnsi" w:hAnsiTheme="minorHAnsi" w:cstheme="minorHAnsi"/>
      </w:rPr>
    </w:pPr>
    <w:r w:rsidRPr="00461518">
      <w:rPr>
        <w:rFonts w:asciiTheme="minorHAnsi" w:hAnsiTheme="minorHAnsi" w:cstheme="minorHAnsi"/>
        <w:color w:val="FF0000"/>
      </w:rPr>
      <w:t>siue.edu/pharmacy</w:t>
    </w:r>
  </w:p>
  <w:p w14:paraId="3192F523" w14:textId="6B50065D" w:rsidR="00A0471E" w:rsidRPr="00461518" w:rsidRDefault="00B11FBD" w:rsidP="00B11FBD">
    <w:pPr>
      <w:pStyle w:val="Footer"/>
      <w:tabs>
        <w:tab w:val="clear" w:pos="9360"/>
        <w:tab w:val="right" w:pos="10710"/>
      </w:tabs>
      <w:jc w:val="center"/>
      <w:rPr>
        <w:rFonts w:asciiTheme="minorHAnsi" w:hAnsiTheme="minorHAnsi" w:cstheme="minorHAnsi"/>
        <w:b/>
        <w:sz w:val="22"/>
        <w:szCs w:val="22"/>
      </w:rPr>
    </w:pPr>
    <w:r w:rsidRPr="00461518">
      <w:rPr>
        <w:rFonts w:asciiTheme="minorHAnsi" w:hAnsiTheme="minorHAnsi" w:cstheme="minorHAnsi"/>
        <w:i/>
        <w:sz w:val="20"/>
        <w:szCs w:val="20"/>
      </w:rPr>
      <w:t>Content</w:t>
    </w:r>
    <w:r w:rsidR="00A0471E" w:rsidRPr="00461518">
      <w:rPr>
        <w:rFonts w:asciiTheme="minorHAnsi" w:hAnsiTheme="minorHAnsi" w:cstheme="minorHAnsi"/>
        <w:i/>
        <w:sz w:val="20"/>
        <w:szCs w:val="20"/>
      </w:rPr>
      <w:t xml:space="preserve"> is subj</w:t>
    </w:r>
    <w:r w:rsidR="0007092B" w:rsidRPr="00461518">
      <w:rPr>
        <w:rFonts w:asciiTheme="minorHAnsi" w:hAnsiTheme="minorHAnsi" w:cstheme="minorHAnsi"/>
        <w:i/>
        <w:sz w:val="20"/>
        <w:szCs w:val="20"/>
      </w:rPr>
      <w:t>ect to change.</w:t>
    </w:r>
    <w:r w:rsidRPr="00461518">
      <w:rPr>
        <w:rFonts w:asciiTheme="minorHAnsi" w:hAnsiTheme="minorHAnsi" w:cstheme="minorHAnsi"/>
        <w:i/>
        <w:sz w:val="20"/>
        <w:szCs w:val="20"/>
      </w:rPr>
      <w:t xml:space="preserve"> Website contains most current information. </w:t>
    </w:r>
    <w:r w:rsidR="0007092B" w:rsidRPr="00461518">
      <w:rPr>
        <w:rFonts w:asciiTheme="minorHAnsi" w:hAnsiTheme="minorHAnsi" w:cstheme="minorHAnsi"/>
        <w:i/>
        <w:sz w:val="20"/>
        <w:szCs w:val="20"/>
      </w:rPr>
      <w:t xml:space="preserve">Revised </w:t>
    </w:r>
    <w:r w:rsidR="00030234" w:rsidRPr="00461518">
      <w:rPr>
        <w:rFonts w:asciiTheme="minorHAnsi" w:hAnsiTheme="minorHAnsi" w:cstheme="minorHAnsi"/>
        <w:i/>
        <w:sz w:val="20"/>
        <w:szCs w:val="20"/>
      </w:rPr>
      <w:t>1/25/2024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89BA2" w14:textId="77777777" w:rsidR="00C35DEC" w:rsidRPr="00C35DEC" w:rsidRDefault="00C35DEC">
    <w:pPr>
      <w:pStyle w:val="Footer"/>
      <w:rPr>
        <w:sz w:val="28"/>
        <w:szCs w:val="28"/>
      </w:rPr>
    </w:pPr>
    <w:r>
      <w:tab/>
    </w:r>
    <w:r w:rsidRPr="00C35DEC">
      <w:rPr>
        <w:color w:val="FF0000"/>
        <w:sz w:val="28"/>
        <w:szCs w:val="28"/>
      </w:rPr>
      <w:t>siue.edu/pharmacy</w:t>
    </w:r>
  </w:p>
  <w:p w14:paraId="37F758C3" w14:textId="77777777" w:rsidR="00C35DEC" w:rsidRDefault="00C35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B6EA4" w14:textId="77777777" w:rsidR="00CC1D95" w:rsidRDefault="00CC1D95" w:rsidP="007868DA">
      <w:r>
        <w:separator/>
      </w:r>
    </w:p>
  </w:footnote>
  <w:footnote w:type="continuationSeparator" w:id="0">
    <w:p w14:paraId="4BEDA4E3" w14:textId="77777777" w:rsidR="00CC1D95" w:rsidRDefault="00CC1D95" w:rsidP="0078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160F4" w14:textId="77777777" w:rsidR="00BD1E4B" w:rsidRDefault="00FD0794" w:rsidP="00FD0794">
    <w:pPr>
      <w:pStyle w:val="Header"/>
      <w:jc w:val="center"/>
    </w:pPr>
    <w:r>
      <w:rPr>
        <w:b/>
        <w:noProof/>
        <w:sz w:val="22"/>
        <w:szCs w:val="22"/>
      </w:rPr>
      <w:drawing>
        <wp:inline distT="0" distB="0" distL="0" distR="0" wp14:anchorId="26EFD403" wp14:editId="59A54670">
          <wp:extent cx="1785668" cy="586230"/>
          <wp:effectExtent l="19050" t="0" r="5032" b="0"/>
          <wp:docPr id="2" name="Picture 2" descr="SIUE wordmark_Pharmacy_485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UE wordmark_Pharmacy_485c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8421" cy="587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53DF"/>
    <w:multiLevelType w:val="hybridMultilevel"/>
    <w:tmpl w:val="EA6A6D32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05FD6288"/>
    <w:multiLevelType w:val="hybridMultilevel"/>
    <w:tmpl w:val="9962EAEE"/>
    <w:lvl w:ilvl="0" w:tplc="01C06C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5553"/>
    <w:multiLevelType w:val="hybridMultilevel"/>
    <w:tmpl w:val="EA6A6D32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 w15:restartNumberingAfterBreak="0">
    <w:nsid w:val="11CA27B0"/>
    <w:multiLevelType w:val="hybridMultilevel"/>
    <w:tmpl w:val="AE68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025D"/>
    <w:multiLevelType w:val="hybridMultilevel"/>
    <w:tmpl w:val="9AECC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05CA8"/>
    <w:multiLevelType w:val="hybridMultilevel"/>
    <w:tmpl w:val="C412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8D4"/>
    <w:multiLevelType w:val="hybridMultilevel"/>
    <w:tmpl w:val="A4D6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38E2"/>
    <w:multiLevelType w:val="hybridMultilevel"/>
    <w:tmpl w:val="8DDE28BE"/>
    <w:lvl w:ilvl="0" w:tplc="5B1CB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962D4F"/>
    <w:multiLevelType w:val="hybridMultilevel"/>
    <w:tmpl w:val="4D98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81463"/>
    <w:multiLevelType w:val="hybridMultilevel"/>
    <w:tmpl w:val="83E21D82"/>
    <w:lvl w:ilvl="0" w:tplc="01C06C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540C4"/>
    <w:multiLevelType w:val="hybridMultilevel"/>
    <w:tmpl w:val="E0BE81B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1" w15:restartNumberingAfterBreak="0">
    <w:nsid w:val="2C61518E"/>
    <w:multiLevelType w:val="hybridMultilevel"/>
    <w:tmpl w:val="ABF6A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90ACC"/>
    <w:multiLevelType w:val="hybridMultilevel"/>
    <w:tmpl w:val="DE9C9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E09E4"/>
    <w:multiLevelType w:val="hybridMultilevel"/>
    <w:tmpl w:val="4656E618"/>
    <w:lvl w:ilvl="0" w:tplc="01C06C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48CE"/>
    <w:multiLevelType w:val="hybridMultilevel"/>
    <w:tmpl w:val="6058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F1DFA"/>
    <w:multiLevelType w:val="hybridMultilevel"/>
    <w:tmpl w:val="8508E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E75F1"/>
    <w:multiLevelType w:val="hybridMultilevel"/>
    <w:tmpl w:val="AE68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80DCA"/>
    <w:multiLevelType w:val="hybridMultilevel"/>
    <w:tmpl w:val="EA847D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B1116C"/>
    <w:multiLevelType w:val="hybridMultilevel"/>
    <w:tmpl w:val="0544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15A7A"/>
    <w:multiLevelType w:val="hybridMultilevel"/>
    <w:tmpl w:val="8400828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 w15:restartNumberingAfterBreak="0">
    <w:nsid w:val="452E439E"/>
    <w:multiLevelType w:val="hybridMultilevel"/>
    <w:tmpl w:val="EA6A6D32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1" w15:restartNumberingAfterBreak="0">
    <w:nsid w:val="489C55B1"/>
    <w:multiLevelType w:val="hybridMultilevel"/>
    <w:tmpl w:val="4D98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F3A55"/>
    <w:multiLevelType w:val="hybridMultilevel"/>
    <w:tmpl w:val="370AFD8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9C2D18"/>
    <w:multiLevelType w:val="hybridMultilevel"/>
    <w:tmpl w:val="EA6A6D32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4" w15:restartNumberingAfterBreak="0">
    <w:nsid w:val="4FC867A8"/>
    <w:multiLevelType w:val="hybridMultilevel"/>
    <w:tmpl w:val="CE5ACB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825B0B"/>
    <w:multiLevelType w:val="hybridMultilevel"/>
    <w:tmpl w:val="EA6A6D32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6" w15:restartNumberingAfterBreak="0">
    <w:nsid w:val="57867FD9"/>
    <w:multiLevelType w:val="hybridMultilevel"/>
    <w:tmpl w:val="555AB5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341D7A"/>
    <w:multiLevelType w:val="hybridMultilevel"/>
    <w:tmpl w:val="CB0E8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E22865"/>
    <w:multiLevelType w:val="hybridMultilevel"/>
    <w:tmpl w:val="EA6A6D32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9" w15:restartNumberingAfterBreak="0">
    <w:nsid w:val="5B504834"/>
    <w:multiLevelType w:val="hybridMultilevel"/>
    <w:tmpl w:val="4B26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3539F"/>
    <w:multiLevelType w:val="hybridMultilevel"/>
    <w:tmpl w:val="B0D2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31B29"/>
    <w:multiLevelType w:val="hybridMultilevel"/>
    <w:tmpl w:val="13029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12F9D"/>
    <w:multiLevelType w:val="hybridMultilevel"/>
    <w:tmpl w:val="C820259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3" w15:restartNumberingAfterBreak="0">
    <w:nsid w:val="75C304A9"/>
    <w:multiLevelType w:val="hybridMultilevel"/>
    <w:tmpl w:val="0CE8804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28"/>
  </w:num>
  <w:num w:numId="5">
    <w:abstractNumId w:val="4"/>
  </w:num>
  <w:num w:numId="6">
    <w:abstractNumId w:val="21"/>
  </w:num>
  <w:num w:numId="7">
    <w:abstractNumId w:val="14"/>
  </w:num>
  <w:num w:numId="8">
    <w:abstractNumId w:val="27"/>
  </w:num>
  <w:num w:numId="9">
    <w:abstractNumId w:val="23"/>
  </w:num>
  <w:num w:numId="10">
    <w:abstractNumId w:val="20"/>
  </w:num>
  <w:num w:numId="11">
    <w:abstractNumId w:val="0"/>
  </w:num>
  <w:num w:numId="12">
    <w:abstractNumId w:val="12"/>
  </w:num>
  <w:num w:numId="13">
    <w:abstractNumId w:val="8"/>
  </w:num>
  <w:num w:numId="14">
    <w:abstractNumId w:val="25"/>
  </w:num>
  <w:num w:numId="15">
    <w:abstractNumId w:val="2"/>
  </w:num>
  <w:num w:numId="16">
    <w:abstractNumId w:val="6"/>
  </w:num>
  <w:num w:numId="17">
    <w:abstractNumId w:val="19"/>
  </w:num>
  <w:num w:numId="18">
    <w:abstractNumId w:val="33"/>
  </w:num>
  <w:num w:numId="19">
    <w:abstractNumId w:val="10"/>
  </w:num>
  <w:num w:numId="20">
    <w:abstractNumId w:val="32"/>
  </w:num>
  <w:num w:numId="21">
    <w:abstractNumId w:val="26"/>
  </w:num>
  <w:num w:numId="22">
    <w:abstractNumId w:val="17"/>
  </w:num>
  <w:num w:numId="23">
    <w:abstractNumId w:val="24"/>
  </w:num>
  <w:num w:numId="24">
    <w:abstractNumId w:val="22"/>
  </w:num>
  <w:num w:numId="25">
    <w:abstractNumId w:val="5"/>
  </w:num>
  <w:num w:numId="26">
    <w:abstractNumId w:val="15"/>
  </w:num>
  <w:num w:numId="27">
    <w:abstractNumId w:val="29"/>
  </w:num>
  <w:num w:numId="28">
    <w:abstractNumId w:val="18"/>
  </w:num>
  <w:num w:numId="29">
    <w:abstractNumId w:val="9"/>
  </w:num>
  <w:num w:numId="30">
    <w:abstractNumId w:val="13"/>
  </w:num>
  <w:num w:numId="31">
    <w:abstractNumId w:val="30"/>
  </w:num>
  <w:num w:numId="32">
    <w:abstractNumId w:val="7"/>
  </w:num>
  <w:num w:numId="33">
    <w:abstractNumId w:val="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FB"/>
    <w:rsid w:val="00003ABE"/>
    <w:rsid w:val="000044DF"/>
    <w:rsid w:val="0000661E"/>
    <w:rsid w:val="00011AE7"/>
    <w:rsid w:val="00014602"/>
    <w:rsid w:val="00014748"/>
    <w:rsid w:val="0001603D"/>
    <w:rsid w:val="000218C7"/>
    <w:rsid w:val="00030234"/>
    <w:rsid w:val="00030B1F"/>
    <w:rsid w:val="00033413"/>
    <w:rsid w:val="000366C5"/>
    <w:rsid w:val="000406CD"/>
    <w:rsid w:val="000446C6"/>
    <w:rsid w:val="00051FD6"/>
    <w:rsid w:val="0007092B"/>
    <w:rsid w:val="00074F7A"/>
    <w:rsid w:val="00083715"/>
    <w:rsid w:val="00087DF6"/>
    <w:rsid w:val="00097D34"/>
    <w:rsid w:val="000A0EAA"/>
    <w:rsid w:val="000A4D0B"/>
    <w:rsid w:val="000B1A24"/>
    <w:rsid w:val="000C7DDA"/>
    <w:rsid w:val="000E0CC0"/>
    <w:rsid w:val="000E654C"/>
    <w:rsid w:val="000F0F7D"/>
    <w:rsid w:val="001015A4"/>
    <w:rsid w:val="001037CD"/>
    <w:rsid w:val="001056B9"/>
    <w:rsid w:val="0011026B"/>
    <w:rsid w:val="00112C2D"/>
    <w:rsid w:val="00134AEF"/>
    <w:rsid w:val="00135EF2"/>
    <w:rsid w:val="0015011C"/>
    <w:rsid w:val="001763E7"/>
    <w:rsid w:val="001774A5"/>
    <w:rsid w:val="00185021"/>
    <w:rsid w:val="00185ACF"/>
    <w:rsid w:val="00193343"/>
    <w:rsid w:val="001938B7"/>
    <w:rsid w:val="001A2FD1"/>
    <w:rsid w:val="001A4B9B"/>
    <w:rsid w:val="001B1F61"/>
    <w:rsid w:val="001C3B8A"/>
    <w:rsid w:val="001D618E"/>
    <w:rsid w:val="001D6FCC"/>
    <w:rsid w:val="001E0958"/>
    <w:rsid w:val="001E22F8"/>
    <w:rsid w:val="001F75DF"/>
    <w:rsid w:val="001F7F70"/>
    <w:rsid w:val="0022254D"/>
    <w:rsid w:val="002321E7"/>
    <w:rsid w:val="00235BE8"/>
    <w:rsid w:val="00254661"/>
    <w:rsid w:val="002553AF"/>
    <w:rsid w:val="002569F4"/>
    <w:rsid w:val="002570C1"/>
    <w:rsid w:val="00264FB7"/>
    <w:rsid w:val="00267EDB"/>
    <w:rsid w:val="0028698C"/>
    <w:rsid w:val="002874FE"/>
    <w:rsid w:val="002927F8"/>
    <w:rsid w:val="002A5DD4"/>
    <w:rsid w:val="002C02B8"/>
    <w:rsid w:val="002C2ED0"/>
    <w:rsid w:val="002D2307"/>
    <w:rsid w:val="002D36C3"/>
    <w:rsid w:val="002E5F96"/>
    <w:rsid w:val="002E72A3"/>
    <w:rsid w:val="002E76DB"/>
    <w:rsid w:val="002F05B6"/>
    <w:rsid w:val="003038BD"/>
    <w:rsid w:val="00323117"/>
    <w:rsid w:val="003256AC"/>
    <w:rsid w:val="003352E0"/>
    <w:rsid w:val="00336D44"/>
    <w:rsid w:val="00351AA6"/>
    <w:rsid w:val="00366F8A"/>
    <w:rsid w:val="003712B4"/>
    <w:rsid w:val="00374DFC"/>
    <w:rsid w:val="00375AFB"/>
    <w:rsid w:val="00386201"/>
    <w:rsid w:val="003B0D89"/>
    <w:rsid w:val="003C1AE3"/>
    <w:rsid w:val="003C7DE7"/>
    <w:rsid w:val="003D5E7E"/>
    <w:rsid w:val="003D7ED0"/>
    <w:rsid w:val="003E6582"/>
    <w:rsid w:val="003F1AB1"/>
    <w:rsid w:val="003F645E"/>
    <w:rsid w:val="003F6DDF"/>
    <w:rsid w:val="003F730A"/>
    <w:rsid w:val="00400601"/>
    <w:rsid w:val="00412FF7"/>
    <w:rsid w:val="00414332"/>
    <w:rsid w:val="00414D49"/>
    <w:rsid w:val="0042515A"/>
    <w:rsid w:val="0043053A"/>
    <w:rsid w:val="00442C44"/>
    <w:rsid w:val="0044774D"/>
    <w:rsid w:val="00451138"/>
    <w:rsid w:val="00461518"/>
    <w:rsid w:val="00462468"/>
    <w:rsid w:val="00464560"/>
    <w:rsid w:val="00474E4A"/>
    <w:rsid w:val="00484D84"/>
    <w:rsid w:val="00494EF7"/>
    <w:rsid w:val="004A7934"/>
    <w:rsid w:val="004B5C6E"/>
    <w:rsid w:val="004B7D9D"/>
    <w:rsid w:val="004C3E32"/>
    <w:rsid w:val="004C5D78"/>
    <w:rsid w:val="004E27BE"/>
    <w:rsid w:val="004E3012"/>
    <w:rsid w:val="004E3056"/>
    <w:rsid w:val="004E465D"/>
    <w:rsid w:val="004E56D8"/>
    <w:rsid w:val="004E7F24"/>
    <w:rsid w:val="004F1F54"/>
    <w:rsid w:val="00511383"/>
    <w:rsid w:val="00521E54"/>
    <w:rsid w:val="00533A9C"/>
    <w:rsid w:val="00535359"/>
    <w:rsid w:val="00540F2D"/>
    <w:rsid w:val="0054306C"/>
    <w:rsid w:val="005471CF"/>
    <w:rsid w:val="005503AE"/>
    <w:rsid w:val="00554AF0"/>
    <w:rsid w:val="0057308C"/>
    <w:rsid w:val="00575295"/>
    <w:rsid w:val="00577820"/>
    <w:rsid w:val="005844B2"/>
    <w:rsid w:val="00592EDF"/>
    <w:rsid w:val="00594A8F"/>
    <w:rsid w:val="005967E7"/>
    <w:rsid w:val="00597CF0"/>
    <w:rsid w:val="005A1573"/>
    <w:rsid w:val="005A32E7"/>
    <w:rsid w:val="005B700B"/>
    <w:rsid w:val="005C2C31"/>
    <w:rsid w:val="005D18C4"/>
    <w:rsid w:val="005E1F9F"/>
    <w:rsid w:val="005E4E99"/>
    <w:rsid w:val="005F352D"/>
    <w:rsid w:val="005F54EE"/>
    <w:rsid w:val="005F7C4D"/>
    <w:rsid w:val="00603AE1"/>
    <w:rsid w:val="00607F02"/>
    <w:rsid w:val="00623994"/>
    <w:rsid w:val="006363B7"/>
    <w:rsid w:val="00655E15"/>
    <w:rsid w:val="00657152"/>
    <w:rsid w:val="006602F9"/>
    <w:rsid w:val="006632B4"/>
    <w:rsid w:val="0067722E"/>
    <w:rsid w:val="0067794D"/>
    <w:rsid w:val="00682C8E"/>
    <w:rsid w:val="00694CF3"/>
    <w:rsid w:val="006B75DC"/>
    <w:rsid w:val="006C0FE1"/>
    <w:rsid w:val="006D42B5"/>
    <w:rsid w:val="006D6368"/>
    <w:rsid w:val="006D740E"/>
    <w:rsid w:val="006E0366"/>
    <w:rsid w:val="006E3DC2"/>
    <w:rsid w:val="006F043A"/>
    <w:rsid w:val="006F5C35"/>
    <w:rsid w:val="00704FFC"/>
    <w:rsid w:val="007136D6"/>
    <w:rsid w:val="0072126F"/>
    <w:rsid w:val="00723FAB"/>
    <w:rsid w:val="00736124"/>
    <w:rsid w:val="00743189"/>
    <w:rsid w:val="007432E0"/>
    <w:rsid w:val="00746264"/>
    <w:rsid w:val="0075683B"/>
    <w:rsid w:val="00757C30"/>
    <w:rsid w:val="00761D87"/>
    <w:rsid w:val="00766231"/>
    <w:rsid w:val="007744FB"/>
    <w:rsid w:val="007868DA"/>
    <w:rsid w:val="00787267"/>
    <w:rsid w:val="007A28B4"/>
    <w:rsid w:val="007B7730"/>
    <w:rsid w:val="007C6537"/>
    <w:rsid w:val="007C77F1"/>
    <w:rsid w:val="007D3381"/>
    <w:rsid w:val="007E0A63"/>
    <w:rsid w:val="007E1120"/>
    <w:rsid w:val="007E1B47"/>
    <w:rsid w:val="007E2AD8"/>
    <w:rsid w:val="0080359F"/>
    <w:rsid w:val="00810892"/>
    <w:rsid w:val="00816B9B"/>
    <w:rsid w:val="00817B75"/>
    <w:rsid w:val="0082176A"/>
    <w:rsid w:val="00827445"/>
    <w:rsid w:val="00830169"/>
    <w:rsid w:val="00832A26"/>
    <w:rsid w:val="008373EA"/>
    <w:rsid w:val="00846685"/>
    <w:rsid w:val="00846E72"/>
    <w:rsid w:val="00847034"/>
    <w:rsid w:val="0085722D"/>
    <w:rsid w:val="00857620"/>
    <w:rsid w:val="00857889"/>
    <w:rsid w:val="00857ED5"/>
    <w:rsid w:val="00860CA5"/>
    <w:rsid w:val="00861CCF"/>
    <w:rsid w:val="00864104"/>
    <w:rsid w:val="0088088F"/>
    <w:rsid w:val="00882DE1"/>
    <w:rsid w:val="00892FDB"/>
    <w:rsid w:val="008959A0"/>
    <w:rsid w:val="00897871"/>
    <w:rsid w:val="008C5324"/>
    <w:rsid w:val="008C6B4E"/>
    <w:rsid w:val="008D22FD"/>
    <w:rsid w:val="008D2A70"/>
    <w:rsid w:val="008D7407"/>
    <w:rsid w:val="008E4E0B"/>
    <w:rsid w:val="008E64C3"/>
    <w:rsid w:val="008F16F2"/>
    <w:rsid w:val="008F30D5"/>
    <w:rsid w:val="00913257"/>
    <w:rsid w:val="00921665"/>
    <w:rsid w:val="009258DE"/>
    <w:rsid w:val="00932018"/>
    <w:rsid w:val="009379FE"/>
    <w:rsid w:val="009424D4"/>
    <w:rsid w:val="00945800"/>
    <w:rsid w:val="00947E18"/>
    <w:rsid w:val="009514E7"/>
    <w:rsid w:val="00951A35"/>
    <w:rsid w:val="00952630"/>
    <w:rsid w:val="0095305C"/>
    <w:rsid w:val="009537DA"/>
    <w:rsid w:val="00971F97"/>
    <w:rsid w:val="00973D45"/>
    <w:rsid w:val="00981E1A"/>
    <w:rsid w:val="009A497C"/>
    <w:rsid w:val="009A7B63"/>
    <w:rsid w:val="009B3D48"/>
    <w:rsid w:val="009B6B0A"/>
    <w:rsid w:val="009D0A99"/>
    <w:rsid w:val="009D673A"/>
    <w:rsid w:val="009E35D5"/>
    <w:rsid w:val="009E6A99"/>
    <w:rsid w:val="009F2F44"/>
    <w:rsid w:val="009F4CFA"/>
    <w:rsid w:val="00A02C66"/>
    <w:rsid w:val="00A0471E"/>
    <w:rsid w:val="00A06CAA"/>
    <w:rsid w:val="00A06CB0"/>
    <w:rsid w:val="00A14CCD"/>
    <w:rsid w:val="00A20FED"/>
    <w:rsid w:val="00A25019"/>
    <w:rsid w:val="00A341D9"/>
    <w:rsid w:val="00A357B4"/>
    <w:rsid w:val="00A37E13"/>
    <w:rsid w:val="00A37EB0"/>
    <w:rsid w:val="00A42892"/>
    <w:rsid w:val="00A44AB6"/>
    <w:rsid w:val="00A5329F"/>
    <w:rsid w:val="00A61AF0"/>
    <w:rsid w:val="00A72FFC"/>
    <w:rsid w:val="00A810F5"/>
    <w:rsid w:val="00A85B03"/>
    <w:rsid w:val="00AB48EC"/>
    <w:rsid w:val="00AC506C"/>
    <w:rsid w:val="00AC5148"/>
    <w:rsid w:val="00AF04A5"/>
    <w:rsid w:val="00AF07D6"/>
    <w:rsid w:val="00AF1CE2"/>
    <w:rsid w:val="00AF7B84"/>
    <w:rsid w:val="00B02BE5"/>
    <w:rsid w:val="00B03747"/>
    <w:rsid w:val="00B049A7"/>
    <w:rsid w:val="00B04F72"/>
    <w:rsid w:val="00B11FBD"/>
    <w:rsid w:val="00B1672A"/>
    <w:rsid w:val="00B17ACB"/>
    <w:rsid w:val="00B20F10"/>
    <w:rsid w:val="00B233FB"/>
    <w:rsid w:val="00B25AFF"/>
    <w:rsid w:val="00B33950"/>
    <w:rsid w:val="00B34606"/>
    <w:rsid w:val="00B368EA"/>
    <w:rsid w:val="00B4432A"/>
    <w:rsid w:val="00B54B52"/>
    <w:rsid w:val="00B57F60"/>
    <w:rsid w:val="00B76642"/>
    <w:rsid w:val="00B80519"/>
    <w:rsid w:val="00B85073"/>
    <w:rsid w:val="00B85D81"/>
    <w:rsid w:val="00B9253E"/>
    <w:rsid w:val="00B93078"/>
    <w:rsid w:val="00B93968"/>
    <w:rsid w:val="00B95BBB"/>
    <w:rsid w:val="00BA2521"/>
    <w:rsid w:val="00BC2818"/>
    <w:rsid w:val="00BD129E"/>
    <w:rsid w:val="00BD1E4B"/>
    <w:rsid w:val="00BE1147"/>
    <w:rsid w:val="00BE3866"/>
    <w:rsid w:val="00BE3C56"/>
    <w:rsid w:val="00BE74DD"/>
    <w:rsid w:val="00C04365"/>
    <w:rsid w:val="00C07657"/>
    <w:rsid w:val="00C11D09"/>
    <w:rsid w:val="00C170B9"/>
    <w:rsid w:val="00C26BF9"/>
    <w:rsid w:val="00C303D6"/>
    <w:rsid w:val="00C35AF9"/>
    <w:rsid w:val="00C35DEC"/>
    <w:rsid w:val="00C404EC"/>
    <w:rsid w:val="00C42DCD"/>
    <w:rsid w:val="00C46FB0"/>
    <w:rsid w:val="00C47B8C"/>
    <w:rsid w:val="00C558EB"/>
    <w:rsid w:val="00C73464"/>
    <w:rsid w:val="00C76316"/>
    <w:rsid w:val="00C81495"/>
    <w:rsid w:val="00C8370E"/>
    <w:rsid w:val="00C83952"/>
    <w:rsid w:val="00C864E5"/>
    <w:rsid w:val="00C95D79"/>
    <w:rsid w:val="00C97893"/>
    <w:rsid w:val="00CA03E2"/>
    <w:rsid w:val="00CB2C10"/>
    <w:rsid w:val="00CB6AD0"/>
    <w:rsid w:val="00CB786F"/>
    <w:rsid w:val="00CC1654"/>
    <w:rsid w:val="00CC1D95"/>
    <w:rsid w:val="00CC2618"/>
    <w:rsid w:val="00CC4D76"/>
    <w:rsid w:val="00CC62A5"/>
    <w:rsid w:val="00CD266E"/>
    <w:rsid w:val="00CE06A1"/>
    <w:rsid w:val="00CE2476"/>
    <w:rsid w:val="00CF20F4"/>
    <w:rsid w:val="00D03E70"/>
    <w:rsid w:val="00D0770B"/>
    <w:rsid w:val="00D25994"/>
    <w:rsid w:val="00D27FED"/>
    <w:rsid w:val="00D345B9"/>
    <w:rsid w:val="00D40F94"/>
    <w:rsid w:val="00D44201"/>
    <w:rsid w:val="00D5271C"/>
    <w:rsid w:val="00D57325"/>
    <w:rsid w:val="00D614E7"/>
    <w:rsid w:val="00D615F5"/>
    <w:rsid w:val="00D700AF"/>
    <w:rsid w:val="00D73BEF"/>
    <w:rsid w:val="00D86C78"/>
    <w:rsid w:val="00D87777"/>
    <w:rsid w:val="00D93F52"/>
    <w:rsid w:val="00D96183"/>
    <w:rsid w:val="00D97240"/>
    <w:rsid w:val="00DA27BA"/>
    <w:rsid w:val="00DA3435"/>
    <w:rsid w:val="00DA498C"/>
    <w:rsid w:val="00DA74D2"/>
    <w:rsid w:val="00DB561B"/>
    <w:rsid w:val="00DC6D34"/>
    <w:rsid w:val="00DD381A"/>
    <w:rsid w:val="00DE12B3"/>
    <w:rsid w:val="00DE3997"/>
    <w:rsid w:val="00DF4106"/>
    <w:rsid w:val="00DF6AC4"/>
    <w:rsid w:val="00E04532"/>
    <w:rsid w:val="00E07036"/>
    <w:rsid w:val="00E16D78"/>
    <w:rsid w:val="00E2767D"/>
    <w:rsid w:val="00E27710"/>
    <w:rsid w:val="00E27927"/>
    <w:rsid w:val="00E33036"/>
    <w:rsid w:val="00E37FAC"/>
    <w:rsid w:val="00E408D9"/>
    <w:rsid w:val="00E5099A"/>
    <w:rsid w:val="00E76F82"/>
    <w:rsid w:val="00E877AF"/>
    <w:rsid w:val="00E9248E"/>
    <w:rsid w:val="00E93534"/>
    <w:rsid w:val="00E93DAF"/>
    <w:rsid w:val="00EA424D"/>
    <w:rsid w:val="00EB5154"/>
    <w:rsid w:val="00EB54EE"/>
    <w:rsid w:val="00EB78E6"/>
    <w:rsid w:val="00EC4BC5"/>
    <w:rsid w:val="00ED27FF"/>
    <w:rsid w:val="00ED6D7E"/>
    <w:rsid w:val="00EE1631"/>
    <w:rsid w:val="00EE20F3"/>
    <w:rsid w:val="00EE2DA4"/>
    <w:rsid w:val="00EE7CFA"/>
    <w:rsid w:val="00EF5C05"/>
    <w:rsid w:val="00F11377"/>
    <w:rsid w:val="00F27F4F"/>
    <w:rsid w:val="00F3178F"/>
    <w:rsid w:val="00F34318"/>
    <w:rsid w:val="00F3636F"/>
    <w:rsid w:val="00F43A73"/>
    <w:rsid w:val="00F44106"/>
    <w:rsid w:val="00F504C7"/>
    <w:rsid w:val="00F546B0"/>
    <w:rsid w:val="00F55225"/>
    <w:rsid w:val="00F556C0"/>
    <w:rsid w:val="00F6230D"/>
    <w:rsid w:val="00F70D06"/>
    <w:rsid w:val="00F72C69"/>
    <w:rsid w:val="00F73EA6"/>
    <w:rsid w:val="00F82194"/>
    <w:rsid w:val="00F848AB"/>
    <w:rsid w:val="00F87474"/>
    <w:rsid w:val="00F91EF1"/>
    <w:rsid w:val="00F92CD7"/>
    <w:rsid w:val="00F9368F"/>
    <w:rsid w:val="00FA697D"/>
    <w:rsid w:val="00FD0794"/>
    <w:rsid w:val="00FD7127"/>
    <w:rsid w:val="00FE3FF4"/>
    <w:rsid w:val="00FF04DE"/>
    <w:rsid w:val="00FF0756"/>
    <w:rsid w:val="00FF0896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7E70E50B"/>
  <w15:docId w15:val="{1414C9A1-D4F1-4F16-B06B-063B7226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F60"/>
    <w:pPr>
      <w:ind w:left="720"/>
      <w:contextualSpacing/>
    </w:pPr>
  </w:style>
  <w:style w:type="table" w:styleId="TableGrid">
    <w:name w:val="Table Grid"/>
    <w:basedOn w:val="TableNormal"/>
    <w:uiPriority w:val="59"/>
    <w:rsid w:val="0053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6FB0"/>
    <w:pPr>
      <w:spacing w:before="100" w:beforeAutospacing="1" w:after="100" w:afterAutospacing="1"/>
    </w:pPr>
  </w:style>
  <w:style w:type="paragraph" w:customStyle="1" w:styleId="Default">
    <w:name w:val="Default"/>
    <w:rsid w:val="00543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5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658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6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8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8D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4E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4E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4E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6CB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6CB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6CB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D23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6B4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D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2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8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81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81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3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ue.edu/pharmacy/admission/conditional-entry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armacy@siue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iue.edu/pharmacy/admission/pdf/Technical_Standard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ue.edu/pharmacy/admissio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969A3-EBF8-495C-9F1D-6DB9ECA7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1163</Words>
  <Characters>6548</Characters>
  <Application>Microsoft Office Word</Application>
  <DocSecurity>0</DocSecurity>
  <Lines>171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 Pharmacy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SIUE Pharmacy</dc:creator>
  <cp:keywords/>
  <dc:description/>
  <cp:lastModifiedBy>Kerr, Jessica</cp:lastModifiedBy>
  <cp:revision>5</cp:revision>
  <cp:lastPrinted>2024-01-29T20:58:00Z</cp:lastPrinted>
  <dcterms:created xsi:type="dcterms:W3CDTF">2024-01-29T20:48:00Z</dcterms:created>
  <dcterms:modified xsi:type="dcterms:W3CDTF">2024-01-29T21:01:00Z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437c977c75c1283affb7b2f0125ada989b9cc23614eaacb01939a1c026486852</vt:lpwstr>
  </property>
</Properties>
</file>